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6EA48E09" w:rsidR="000127FF" w:rsidRPr="0069418C" w:rsidRDefault="007B63F8" w:rsidP="000127FF">
      <w:pPr>
        <w:pStyle w:val="3GPPHeader"/>
        <w:spacing w:after="60"/>
        <w:rPr>
          <w:rFonts w:ascii="Arial" w:hAnsi="Arial" w:cs="Arial"/>
          <w:sz w:val="24"/>
          <w:szCs w:val="24"/>
          <w:highlight w:val="yellow"/>
        </w:rPr>
      </w:pPr>
      <w:r w:rsidRPr="007B63F8">
        <w:rPr>
          <w:rFonts w:ascii="Arial" w:hAnsi="Arial" w:cs="Arial"/>
          <w:sz w:val="24"/>
          <w:szCs w:val="24"/>
        </w:rPr>
        <w:t>3GPP TSG-RAN WG1 Meeting #114</w:t>
      </w:r>
      <w:r w:rsidR="000127FF" w:rsidRPr="00EF6B68">
        <w:rPr>
          <w:rFonts w:ascii="Arial" w:hAnsi="Arial" w:cs="Arial"/>
          <w:sz w:val="24"/>
          <w:szCs w:val="24"/>
        </w:rPr>
        <w:tab/>
      </w:r>
      <w:r w:rsidR="00FC269C" w:rsidRPr="00FC269C">
        <w:rPr>
          <w:rFonts w:ascii="Arial" w:hAnsi="Arial" w:cs="Arial"/>
          <w:sz w:val="24"/>
          <w:szCs w:val="24"/>
        </w:rPr>
        <w:t>R1-2307842</w:t>
      </w:r>
    </w:p>
    <w:p w14:paraId="776BE9CF" w14:textId="7C2A8F1B" w:rsidR="00187DC0" w:rsidRPr="00C969FF" w:rsidRDefault="007B63F8" w:rsidP="00187DC0">
      <w:pPr>
        <w:pStyle w:val="3GPPHeader"/>
      </w:pPr>
      <w:r w:rsidRPr="007B63F8">
        <w:rPr>
          <w:rFonts w:ascii="Arial" w:hAnsi="Arial" w:cs="Arial"/>
          <w:sz w:val="24"/>
          <w:szCs w:val="24"/>
        </w:rPr>
        <w:t>Toulouse, France, August 21st – August 25th, 2023</w:t>
      </w:r>
    </w:p>
    <w:p w14:paraId="01009BC6" w14:textId="77777777" w:rsidR="00C969FF" w:rsidRPr="00C969FF" w:rsidRDefault="00C969FF" w:rsidP="00C969FF">
      <w:pPr>
        <w:pStyle w:val="3GPPHeader"/>
      </w:pPr>
    </w:p>
    <w:p w14:paraId="0F64B47A" w14:textId="1458127C"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C133E3">
        <w:rPr>
          <w:rFonts w:ascii="Arial" w:hAnsi="Arial" w:cs="Arial"/>
          <w:lang w:val="sv-FI"/>
        </w:rPr>
        <w:t>5</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2966234"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0" w:name="OLE_LINK2"/>
      <w:r w:rsidR="007F611D">
        <w:rPr>
          <w:rFonts w:ascii="Arial" w:hAnsi="Arial" w:cs="Arial"/>
        </w:rPr>
        <w:t xml:space="preserve">Resolution for </w:t>
      </w:r>
      <w:r w:rsidR="001D1761">
        <w:rPr>
          <w:rFonts w:ascii="Arial" w:hAnsi="Arial" w:cs="Arial"/>
        </w:rPr>
        <w:t>RAN4 LS on FDD+TDD</w:t>
      </w:r>
      <w:r w:rsidR="00C133E3" w:rsidRPr="00C133E3">
        <w:rPr>
          <w:rFonts w:ascii="Arial" w:hAnsi="Arial" w:cs="Arial"/>
        </w:rPr>
        <w:t xml:space="preserve"> </w:t>
      </w:r>
      <w:bookmarkEnd w:id="0"/>
      <w:r w:rsidR="001D1761">
        <w:rPr>
          <w:rFonts w:ascii="Arial" w:hAnsi="Arial" w:cs="Arial"/>
        </w:rPr>
        <w:t>SRS Antenna Switching</w:t>
      </w:r>
    </w:p>
    <w:p w14:paraId="28F95A73" w14:textId="0A2BA7C8" w:rsidR="00BF7642" w:rsidRDefault="007F75D5" w:rsidP="002611E7">
      <w:pPr>
        <w:pStyle w:val="Heading1"/>
      </w:pPr>
      <w:r>
        <w:t>Introduction</w:t>
      </w:r>
    </w:p>
    <w:p w14:paraId="4007B899" w14:textId="069203F2" w:rsidR="0057418C" w:rsidRDefault="00510FB6" w:rsidP="00B51F17">
      <w:pPr>
        <w:spacing w:after="0"/>
      </w:pPr>
      <w:r>
        <w:t xml:space="preserve">In their LS </w:t>
      </w:r>
      <w:r>
        <w:fldChar w:fldCharType="begin"/>
      </w:r>
      <w:r>
        <w:instrText xml:space="preserve"> REF _Ref101380969 \r \h </w:instrText>
      </w:r>
      <w:r>
        <w:fldChar w:fldCharType="separate"/>
      </w:r>
      <w:r>
        <w:t>[1]</w:t>
      </w:r>
      <w:r>
        <w:fldChar w:fldCharType="end"/>
      </w:r>
      <w:r>
        <w:t xml:space="preserve">, </w:t>
      </w:r>
      <w:r w:rsidR="00F137A8">
        <w:t xml:space="preserve">RAN4 </w:t>
      </w:r>
      <w:r w:rsidR="00D72E8B">
        <w:t xml:space="preserve">raised the issue of </w:t>
      </w:r>
      <w:r w:rsidR="00D72E8B" w:rsidRPr="00D72E8B">
        <w:t>impact on FDD Rx for the FDD band in an FDD+TDD combination caused by SRS antenna switching</w:t>
      </w:r>
      <w:r w:rsidR="00D72E8B">
        <w:t xml:space="preserve">. RAN1 discussed </w:t>
      </w:r>
      <w:r w:rsidR="005C7018">
        <w:t xml:space="preserve">potential specification changes in RAN1#112bis and whether such changes were needed.  However, no conclusion was reached, and further discussion was postponed to RAN1#114. This contribution reviews the issues discussed, considers the benefits of potential RAN1 specification changes, and proposes a </w:t>
      </w:r>
      <w:r w:rsidR="00625D42">
        <w:t>resolution for the issue</w:t>
      </w:r>
      <w:r w:rsidR="005C7018">
        <w:t>.</w:t>
      </w:r>
    </w:p>
    <w:p w14:paraId="65ADA58E" w14:textId="3FE56E7D" w:rsidR="00D8415D" w:rsidRDefault="009D0E62" w:rsidP="004D5B6C">
      <w:pPr>
        <w:pStyle w:val="Heading1"/>
        <w:spacing w:before="360"/>
      </w:pPr>
      <w:r w:rsidRPr="00EA010B">
        <w:t>Discussion</w:t>
      </w:r>
      <w:r w:rsidR="00B04282">
        <w:t xml:space="preserve"> </w:t>
      </w:r>
    </w:p>
    <w:p w14:paraId="5FCC804F" w14:textId="0C26C048" w:rsidR="00047B44" w:rsidRDefault="00047B44" w:rsidP="00047B44">
      <w:pPr>
        <w:rPr>
          <w:lang w:val="en-GB"/>
        </w:rPr>
      </w:pPr>
      <w:r>
        <w:rPr>
          <w:lang w:val="en-GB"/>
        </w:rPr>
        <w:t xml:space="preserve">In </w:t>
      </w:r>
      <w:r>
        <w:rPr>
          <w:lang w:val="en-GB"/>
        </w:rPr>
        <w:fldChar w:fldCharType="begin"/>
      </w:r>
      <w:r>
        <w:rPr>
          <w:lang w:val="en-GB"/>
        </w:rPr>
        <w:instrText xml:space="preserve"> REF _Ref101380969 \r \h </w:instrText>
      </w:r>
      <w:r>
        <w:rPr>
          <w:lang w:val="en-GB"/>
        </w:rPr>
      </w:r>
      <w:r>
        <w:rPr>
          <w:lang w:val="en-GB"/>
        </w:rPr>
        <w:fldChar w:fldCharType="separate"/>
      </w:r>
      <w:r>
        <w:rPr>
          <w:lang w:val="en-GB"/>
        </w:rPr>
        <w:t>[1]</w:t>
      </w:r>
      <w:r>
        <w:rPr>
          <w:lang w:val="en-GB"/>
        </w:rPr>
        <w:fldChar w:fldCharType="end"/>
      </w:r>
      <w:r>
        <w:rPr>
          <w:lang w:val="en-GB"/>
        </w:rPr>
        <w:t xml:space="preserve">, </w:t>
      </w:r>
      <w:r w:rsidR="00EF6B10" w:rsidRPr="00EF6B10">
        <w:rPr>
          <w:lang w:val="en-GB"/>
        </w:rPr>
        <w:t xml:space="preserve">RAN4 </w:t>
      </w:r>
      <w:r w:rsidR="00EF6B10">
        <w:rPr>
          <w:lang w:val="en-GB"/>
        </w:rPr>
        <w:t>identify potential i</w:t>
      </w:r>
      <w:r w:rsidR="00EF6B10" w:rsidRPr="00EF6B10">
        <w:rPr>
          <w:lang w:val="en-GB"/>
        </w:rPr>
        <w:t>mpact</w:t>
      </w:r>
      <w:r w:rsidR="00EF6B10">
        <w:rPr>
          <w:lang w:val="en-GB"/>
        </w:rPr>
        <w:t>s</w:t>
      </w:r>
      <w:r w:rsidR="00EF6B10" w:rsidRPr="00EF6B10">
        <w:rPr>
          <w:lang w:val="en-GB"/>
        </w:rPr>
        <w:t xml:space="preserve"> on FDD </w:t>
      </w:r>
      <w:r w:rsidR="00EF6B10">
        <w:rPr>
          <w:lang w:val="en-GB"/>
        </w:rPr>
        <w:t xml:space="preserve">reception </w:t>
      </w:r>
      <w:r w:rsidR="00EF6B10" w:rsidRPr="00EF6B10">
        <w:rPr>
          <w:lang w:val="en-GB"/>
        </w:rPr>
        <w:t>in an FDD+TDD combination caused by SRS antenna switching</w:t>
      </w:r>
      <w:r w:rsidR="00EF6B10">
        <w:rPr>
          <w:lang w:val="en-GB"/>
        </w:rPr>
        <w:t xml:space="preserve"> when UEs share TX chains for FDD and TDD.</w:t>
      </w:r>
      <w:r w:rsidR="00EF6B10" w:rsidRPr="00EF6B10">
        <w:rPr>
          <w:lang w:val="en-GB"/>
        </w:rPr>
        <w:t xml:space="preserve"> </w:t>
      </w:r>
      <w:r w:rsidR="00EF6B10">
        <w:rPr>
          <w:lang w:val="en-GB"/>
        </w:rPr>
        <w:t xml:space="preserve">In the following, we </w:t>
      </w:r>
      <w:r w:rsidR="00720245">
        <w:rPr>
          <w:lang w:val="en-GB"/>
        </w:rPr>
        <w:t xml:space="preserve">briefly </w:t>
      </w:r>
      <w:r w:rsidR="00EF6B10">
        <w:rPr>
          <w:lang w:val="en-GB"/>
        </w:rPr>
        <w:t xml:space="preserve">revisit the email discussion </w:t>
      </w:r>
      <w:r w:rsidR="00EF6B10">
        <w:rPr>
          <w:lang w:val="en-GB"/>
        </w:rPr>
        <w:fldChar w:fldCharType="begin"/>
      </w:r>
      <w:r w:rsidR="00EF6B10">
        <w:rPr>
          <w:lang w:val="en-GB"/>
        </w:rPr>
        <w:instrText xml:space="preserve"> REF _Ref142472376 \r \h </w:instrText>
      </w:r>
      <w:r w:rsidR="00EF6B10">
        <w:rPr>
          <w:lang w:val="en-GB"/>
        </w:rPr>
      </w:r>
      <w:r w:rsidR="00EF6B10">
        <w:rPr>
          <w:lang w:val="en-GB"/>
        </w:rPr>
        <w:fldChar w:fldCharType="separate"/>
      </w:r>
      <w:r w:rsidR="00EF6B10">
        <w:rPr>
          <w:lang w:val="en-GB"/>
        </w:rPr>
        <w:t>[2]</w:t>
      </w:r>
      <w:r w:rsidR="00EF6B10">
        <w:rPr>
          <w:lang w:val="en-GB"/>
        </w:rPr>
        <w:fldChar w:fldCharType="end"/>
      </w:r>
      <w:r w:rsidR="00EF6B10">
        <w:rPr>
          <w:lang w:val="en-GB"/>
        </w:rPr>
        <w:t>, and then propose a resolution.</w:t>
      </w:r>
    </w:p>
    <w:p w14:paraId="67A7C8D0" w14:textId="6351F893" w:rsidR="00434B02" w:rsidRDefault="00EF6B10" w:rsidP="00047B44">
      <w:pPr>
        <w:rPr>
          <w:lang w:val="en-GB"/>
        </w:rPr>
      </w:pPr>
      <w:r>
        <w:rPr>
          <w:lang w:val="en-GB"/>
        </w:rPr>
        <w:t xml:space="preserve">As pointed out in </w:t>
      </w:r>
      <w:r>
        <w:rPr>
          <w:lang w:val="en-GB"/>
        </w:rPr>
        <w:fldChar w:fldCharType="begin"/>
      </w:r>
      <w:r>
        <w:rPr>
          <w:lang w:val="en-GB"/>
        </w:rPr>
        <w:instrText xml:space="preserve"> REF _Ref101380969 \r \h </w:instrText>
      </w:r>
      <w:r>
        <w:rPr>
          <w:lang w:val="en-GB"/>
        </w:rPr>
      </w:r>
      <w:r>
        <w:rPr>
          <w:lang w:val="en-GB"/>
        </w:rPr>
        <w:fldChar w:fldCharType="separate"/>
      </w:r>
      <w:r>
        <w:rPr>
          <w:lang w:val="en-GB"/>
        </w:rPr>
        <w:t>[1]</w:t>
      </w:r>
      <w:r>
        <w:rPr>
          <w:lang w:val="en-GB"/>
        </w:rPr>
        <w:fldChar w:fldCharType="end"/>
      </w:r>
      <w:r>
        <w:rPr>
          <w:lang w:val="en-GB"/>
        </w:rPr>
        <w:t xml:space="preserve">, during LTE it was discussed in </w:t>
      </w:r>
      <w:r w:rsidR="00664F65">
        <w:rPr>
          <w:lang w:val="en-GB"/>
        </w:rPr>
        <w:fldChar w:fldCharType="begin"/>
      </w:r>
      <w:r w:rsidR="00664F65">
        <w:rPr>
          <w:lang w:val="en-GB"/>
        </w:rPr>
        <w:instrText xml:space="preserve"> REF _Ref142476125 \r \h </w:instrText>
      </w:r>
      <w:r w:rsidR="00664F65">
        <w:rPr>
          <w:lang w:val="en-GB"/>
        </w:rPr>
      </w:r>
      <w:r w:rsidR="00664F65">
        <w:rPr>
          <w:lang w:val="en-GB"/>
        </w:rPr>
        <w:fldChar w:fldCharType="separate"/>
      </w:r>
      <w:r w:rsidR="00664F65">
        <w:rPr>
          <w:lang w:val="en-GB"/>
        </w:rPr>
        <w:t>[3]</w:t>
      </w:r>
      <w:r w:rsidR="00664F65">
        <w:rPr>
          <w:lang w:val="en-GB"/>
        </w:rPr>
        <w:fldChar w:fldCharType="end"/>
      </w:r>
      <w:r>
        <w:rPr>
          <w:lang w:val="en-GB"/>
        </w:rPr>
        <w:t xml:space="preserve"> that </w:t>
      </w:r>
      <w:r w:rsidRPr="00EF6B10">
        <w:rPr>
          <w:lang w:val="en-GB"/>
        </w:rPr>
        <w:t>some TDD and FDD bands share common RF front-end components</w:t>
      </w:r>
      <w:r w:rsidR="008B7204">
        <w:rPr>
          <w:lang w:val="en-GB"/>
        </w:rPr>
        <w:t xml:space="preserve">, and antenna switching on TDD may affect FDD transmission and/or reception.  Consequently, the LTE specifications were clarified to say that </w:t>
      </w:r>
      <w:r w:rsidR="008B7204" w:rsidRPr="008B7204">
        <w:rPr>
          <w:lang w:val="en-GB"/>
        </w:rPr>
        <w:t xml:space="preserve">the UE is not expected to transmit SRS </w:t>
      </w:r>
      <w:r w:rsidR="008B7204">
        <w:rPr>
          <w:lang w:val="en-GB"/>
        </w:rPr>
        <w:t xml:space="preserve">or SRS+PUSCH </w:t>
      </w:r>
      <w:r w:rsidR="008B7204" w:rsidRPr="008B7204">
        <w:rPr>
          <w:lang w:val="en-GB"/>
        </w:rPr>
        <w:t xml:space="preserve">on different antenna ports simultaneously </w:t>
      </w:r>
      <w:r w:rsidR="008B7204">
        <w:rPr>
          <w:lang w:val="en-GB"/>
        </w:rPr>
        <w:t xml:space="preserve">for </w:t>
      </w:r>
      <w:r w:rsidR="008B7204" w:rsidRPr="008B7204">
        <w:rPr>
          <w:lang w:val="en-GB"/>
        </w:rPr>
        <w:t>a group of cells that are signalled to be switched together</w:t>
      </w:r>
      <w:r w:rsidR="008B7204">
        <w:rPr>
          <w:lang w:val="en-GB"/>
        </w:rPr>
        <w:t xml:space="preserve"> </w:t>
      </w:r>
      <w:r w:rsidR="002E2084">
        <w:rPr>
          <w:lang w:val="en-GB"/>
        </w:rPr>
        <w:fldChar w:fldCharType="begin"/>
      </w:r>
      <w:r w:rsidR="002E2084">
        <w:rPr>
          <w:lang w:val="en-GB"/>
        </w:rPr>
        <w:instrText xml:space="preserve"> REF _Ref142481908 \r \h </w:instrText>
      </w:r>
      <w:r w:rsidR="002E2084">
        <w:rPr>
          <w:lang w:val="en-GB"/>
        </w:rPr>
      </w:r>
      <w:r w:rsidR="002E2084">
        <w:rPr>
          <w:lang w:val="en-GB"/>
        </w:rPr>
        <w:fldChar w:fldCharType="separate"/>
      </w:r>
      <w:r w:rsidR="002E2084">
        <w:rPr>
          <w:lang w:val="en-GB"/>
        </w:rPr>
        <w:t>[4]</w:t>
      </w:r>
      <w:r w:rsidR="002E2084">
        <w:rPr>
          <w:lang w:val="en-GB"/>
        </w:rPr>
        <w:fldChar w:fldCharType="end"/>
      </w:r>
      <w:r w:rsidR="008B7204">
        <w:rPr>
          <w:lang w:val="en-GB"/>
        </w:rPr>
        <w:t>.</w:t>
      </w:r>
      <w:r w:rsidR="004E5871">
        <w:rPr>
          <w:lang w:val="en-GB"/>
        </w:rPr>
        <w:t xml:space="preserve">  </w:t>
      </w:r>
    </w:p>
    <w:p w14:paraId="5F48C7A6" w14:textId="23176C0D" w:rsidR="005F10FF" w:rsidRDefault="004E5871" w:rsidP="00047B44">
      <w:pPr>
        <w:rPr>
          <w:lang w:val="en-GB"/>
        </w:rPr>
      </w:pPr>
      <w:r>
        <w:rPr>
          <w:lang w:val="en-GB"/>
        </w:rPr>
        <w:t xml:space="preserve">During </w:t>
      </w:r>
      <w:r w:rsidR="00987C89">
        <w:rPr>
          <w:lang w:val="en-GB"/>
        </w:rPr>
        <w:t xml:space="preserve">RAN1 </w:t>
      </w:r>
      <w:r>
        <w:rPr>
          <w:lang w:val="en-GB"/>
        </w:rPr>
        <w:t xml:space="preserve">email </w:t>
      </w:r>
      <w:r w:rsidR="00987C89">
        <w:rPr>
          <w:lang w:val="en-GB"/>
        </w:rPr>
        <w:t xml:space="preserve">reflector </w:t>
      </w:r>
      <w:r>
        <w:rPr>
          <w:lang w:val="en-GB"/>
        </w:rPr>
        <w:t>discussion</w:t>
      </w:r>
      <w:r w:rsidR="00987C89">
        <w:rPr>
          <w:lang w:val="en-GB"/>
        </w:rPr>
        <w:t>s</w:t>
      </w:r>
      <w:r>
        <w:rPr>
          <w:lang w:val="en-GB"/>
        </w:rPr>
        <w:t xml:space="preserve"> related to </w:t>
      </w:r>
      <w:r>
        <w:rPr>
          <w:lang w:val="en-GB"/>
        </w:rPr>
        <w:fldChar w:fldCharType="begin"/>
      </w:r>
      <w:r>
        <w:rPr>
          <w:lang w:val="en-GB"/>
        </w:rPr>
        <w:instrText xml:space="preserve"> REF _Ref142472376 \r \h </w:instrText>
      </w:r>
      <w:r>
        <w:rPr>
          <w:lang w:val="en-GB"/>
        </w:rPr>
      </w:r>
      <w:r>
        <w:rPr>
          <w:lang w:val="en-GB"/>
        </w:rPr>
        <w:fldChar w:fldCharType="separate"/>
      </w:r>
      <w:r>
        <w:rPr>
          <w:lang w:val="en-GB"/>
        </w:rPr>
        <w:t>[2]</w:t>
      </w:r>
      <w:r>
        <w:rPr>
          <w:lang w:val="en-GB"/>
        </w:rPr>
        <w:fldChar w:fldCharType="end"/>
      </w:r>
      <w:r>
        <w:rPr>
          <w:lang w:val="en-GB"/>
        </w:rPr>
        <w:t>, various proposals were made, including:</w:t>
      </w:r>
    </w:p>
    <w:p w14:paraId="784E9ADB" w14:textId="635D31AF" w:rsidR="004E5871" w:rsidRPr="004E5871" w:rsidRDefault="004E5871" w:rsidP="004E5871">
      <w:pPr>
        <w:ind w:left="567"/>
        <w:rPr>
          <w:rFonts w:ascii="Calibri" w:eastAsia="PMingLiU" w:hAnsi="Calibri" w:cs="Calibri"/>
        </w:rPr>
      </w:pPr>
      <w:r>
        <w:rPr>
          <w:b/>
          <w:bCs/>
        </w:rPr>
        <w:t>Proposal</w:t>
      </w:r>
      <w:r>
        <w:t xml:space="preserve">: Strive for a CR to resolve the impact to UL transmission for bands reported by </w:t>
      </w:r>
      <w:proofErr w:type="spellStart"/>
      <w:r>
        <w:t>txSwitchWithAnotherBand</w:t>
      </w:r>
      <w:proofErr w:type="spellEnd"/>
      <w:r>
        <w:t xml:space="preserve"> as described in R1-2302268.</w:t>
      </w:r>
    </w:p>
    <w:p w14:paraId="7A97C674" w14:textId="77777777" w:rsidR="004E5871" w:rsidRDefault="004E5871" w:rsidP="004E5871">
      <w:pPr>
        <w:ind w:left="567"/>
      </w:pPr>
      <w:r>
        <w:rPr>
          <w:b/>
          <w:bCs/>
        </w:rPr>
        <w:t>Proposed conclusion</w:t>
      </w:r>
      <w:r>
        <w:t xml:space="preserve">: UE follows requirements specified in 38.101/133 for DL receiving on bands reported by </w:t>
      </w:r>
      <w:proofErr w:type="spellStart"/>
      <w:r>
        <w:t>txSwitchImpactToRx</w:t>
      </w:r>
      <w:proofErr w:type="spellEnd"/>
      <w:r>
        <w:t xml:space="preserve"> as described in R1-2302268.</w:t>
      </w:r>
    </w:p>
    <w:p w14:paraId="431CC057" w14:textId="452E4148" w:rsidR="004E5871" w:rsidRDefault="004E5871" w:rsidP="00047B44">
      <w:pPr>
        <w:rPr>
          <w:lang w:val="en-GB"/>
        </w:rPr>
      </w:pPr>
      <w:r>
        <w:rPr>
          <w:lang w:val="en-GB"/>
        </w:rPr>
        <w:t>While the proposed conclusion was modified slightly and agree</w:t>
      </w:r>
      <w:r w:rsidR="00987C89">
        <w:rPr>
          <w:lang w:val="en-GB"/>
        </w:rPr>
        <w:t>d</w:t>
      </w:r>
      <w:r>
        <w:rPr>
          <w:lang w:val="en-GB"/>
        </w:rPr>
        <w:t xml:space="preserve"> </w:t>
      </w:r>
      <w:r w:rsidR="00987C89">
        <w:rPr>
          <w:lang w:val="en-GB"/>
        </w:rPr>
        <w:t xml:space="preserve">to what is </w:t>
      </w:r>
      <w:r>
        <w:rPr>
          <w:lang w:val="en-GB"/>
        </w:rPr>
        <w:t xml:space="preserve">shown below, the proposal for a CR was left for further discussion.  Therefore, the open question is if a CR is needed for UL transmission. </w:t>
      </w:r>
    </w:p>
    <w:p w14:paraId="5AF631B6" w14:textId="558D8C82" w:rsidR="004E5871" w:rsidRDefault="004E5871" w:rsidP="004E5871">
      <w:pPr>
        <w:ind w:left="567"/>
        <w:rPr>
          <w:lang w:val="en-GB"/>
        </w:rPr>
      </w:pPr>
      <w:r w:rsidRPr="004E5871">
        <w:rPr>
          <w:rFonts w:ascii="Calibri" w:eastAsia="Calibri" w:hAnsi="Calibri" w:cs="Arial"/>
          <w:b/>
          <w:bCs/>
        </w:rPr>
        <w:t>Conclusion</w:t>
      </w:r>
      <w:r w:rsidRPr="004E5871">
        <w:rPr>
          <w:rFonts w:ascii="Calibri" w:eastAsia="Calibri" w:hAnsi="Calibri" w:cs="Arial"/>
        </w:rPr>
        <w:t>: UE follows requirements specified in 38.</w:t>
      </w:r>
      <w:r w:rsidRPr="004E5871">
        <w:rPr>
          <w:rFonts w:ascii="Calibri" w:eastAsia="Calibri" w:hAnsi="Calibri" w:cs="Arial"/>
          <w:strike/>
          <w:color w:val="FF0000"/>
        </w:rPr>
        <w:t>101/</w:t>
      </w:r>
      <w:r w:rsidRPr="004E5871">
        <w:rPr>
          <w:rFonts w:ascii="Calibri" w:eastAsia="Calibri" w:hAnsi="Calibri" w:cs="Arial"/>
        </w:rPr>
        <w:t xml:space="preserve">133 for DL receiving on bands reported by </w:t>
      </w:r>
      <w:proofErr w:type="spellStart"/>
      <w:r w:rsidRPr="004E5871">
        <w:rPr>
          <w:rFonts w:ascii="Calibri" w:eastAsia="Calibri" w:hAnsi="Calibri" w:cs="Arial"/>
        </w:rPr>
        <w:t>txSwitchImpactToRx</w:t>
      </w:r>
      <w:proofErr w:type="spellEnd"/>
      <w:r w:rsidRPr="004E5871">
        <w:rPr>
          <w:rFonts w:ascii="Calibri" w:eastAsia="Calibri" w:hAnsi="Calibri" w:cs="Arial"/>
        </w:rPr>
        <w:t xml:space="preserve"> </w:t>
      </w:r>
      <w:r w:rsidRPr="004E5871">
        <w:rPr>
          <w:rFonts w:ascii="Calibri" w:eastAsia="Calibri" w:hAnsi="Calibri" w:cs="Arial"/>
          <w:strike/>
          <w:color w:val="FF0000"/>
        </w:rPr>
        <w:t>as described in R1-2302268</w:t>
      </w:r>
      <w:r w:rsidRPr="004E5871">
        <w:rPr>
          <w:rFonts w:ascii="Calibri" w:eastAsia="Calibri" w:hAnsi="Calibri" w:cs="Arial"/>
        </w:rPr>
        <w:t>.</w:t>
      </w:r>
    </w:p>
    <w:p w14:paraId="30AA3F95" w14:textId="77777777" w:rsidR="0049735E" w:rsidRDefault="0049735E" w:rsidP="0049735E">
      <w:pPr>
        <w:rPr>
          <w:rFonts w:cstheme="minorHAnsi"/>
          <w:lang w:val="en-GB"/>
        </w:rPr>
      </w:pPr>
    </w:p>
    <w:p w14:paraId="11B35C6A" w14:textId="5334EE63" w:rsidR="003402C5" w:rsidRPr="0049735E" w:rsidRDefault="003402C5" w:rsidP="0049735E">
      <w:pPr>
        <w:pStyle w:val="Observation"/>
        <w:rPr>
          <w:lang w:val="en-GB"/>
        </w:rPr>
      </w:pPr>
      <w:bookmarkStart w:id="1" w:name="_Toc142489218"/>
      <w:r w:rsidRPr="0049735E">
        <w:rPr>
          <w:lang w:val="en-GB"/>
        </w:rPr>
        <w:lastRenderedPageBreak/>
        <w:t>A conclusion was reached for email discussion [112bis-e-AI7.1-16] regarding</w:t>
      </w:r>
      <w:r w:rsidR="00987C89" w:rsidRPr="0049735E">
        <w:rPr>
          <w:lang w:val="en-GB"/>
        </w:rPr>
        <w:t xml:space="preserve"> downlink</w:t>
      </w:r>
      <w:r w:rsidRPr="0049735E">
        <w:rPr>
          <w:lang w:val="en-GB"/>
        </w:rPr>
        <w:t xml:space="preserve"> reception aspects for FDD+TDD combinations using SRS antenna switching, so only uplink transmission is to be further discussed.</w:t>
      </w:r>
      <w:bookmarkEnd w:id="1"/>
    </w:p>
    <w:p w14:paraId="3CBE2CB4" w14:textId="0E55F506" w:rsidR="005F10FF" w:rsidRDefault="005F10FF" w:rsidP="00F85DE4">
      <w:pPr>
        <w:rPr>
          <w:lang w:val="en-GB"/>
        </w:rPr>
      </w:pPr>
      <w:r>
        <w:rPr>
          <w:lang w:val="en-GB"/>
        </w:rPr>
        <w:t xml:space="preserve">While changes were made to support </w:t>
      </w:r>
      <w:r w:rsidR="00720245">
        <w:rPr>
          <w:lang w:val="en-GB"/>
        </w:rPr>
        <w:t xml:space="preserve">UL transmission for </w:t>
      </w:r>
      <w:r>
        <w:rPr>
          <w:lang w:val="en-GB"/>
        </w:rPr>
        <w:t>LTE</w:t>
      </w:r>
      <w:r w:rsidR="00720245">
        <w:rPr>
          <w:lang w:val="en-GB"/>
        </w:rPr>
        <w:t xml:space="preserve"> for this issue</w:t>
      </w:r>
      <w:r>
        <w:rPr>
          <w:lang w:val="en-GB"/>
        </w:rPr>
        <w:t>, the need is not so clear for NR.  L</w:t>
      </w:r>
      <w:r w:rsidR="007B63F8" w:rsidRPr="007B63F8">
        <w:rPr>
          <w:lang w:val="en-GB"/>
        </w:rPr>
        <w:t>ooking at 38.133 (</w:t>
      </w:r>
      <w:proofErr w:type="gramStart"/>
      <w:r w:rsidR="007B63F8" w:rsidRPr="007B63F8">
        <w:rPr>
          <w:lang w:val="en-GB"/>
        </w:rPr>
        <w:t>e.g.</w:t>
      </w:r>
      <w:proofErr w:type="gramEnd"/>
      <w:r w:rsidR="007B63F8" w:rsidRPr="007B63F8">
        <w:rPr>
          <w:lang w:val="en-GB"/>
        </w:rPr>
        <w:t xml:space="preserve"> from 8.2.1.2.18 copied below), the </w:t>
      </w:r>
      <w:proofErr w:type="spellStart"/>
      <w:r w:rsidR="007B63F8" w:rsidRPr="007B63F8">
        <w:rPr>
          <w:lang w:val="en-GB"/>
        </w:rPr>
        <w:t>behavior</w:t>
      </w:r>
      <w:proofErr w:type="spellEnd"/>
      <w:r w:rsidR="007B63F8" w:rsidRPr="007B63F8">
        <w:rPr>
          <w:lang w:val="en-GB"/>
        </w:rPr>
        <w:t xml:space="preserve"> seems clear to us</w:t>
      </w:r>
      <w:r w:rsidR="00BF4DD7">
        <w:rPr>
          <w:lang w:val="en-GB"/>
        </w:rPr>
        <w:t xml:space="preserve">: </w:t>
      </w:r>
      <w:r w:rsidR="00987C89">
        <w:rPr>
          <w:lang w:val="en-GB"/>
        </w:rPr>
        <w:t xml:space="preserve">uplink </w:t>
      </w:r>
      <w:r w:rsidR="008D64BE">
        <w:rPr>
          <w:lang w:val="en-GB"/>
        </w:rPr>
        <w:t>interruptions are allowed according to</w:t>
      </w:r>
      <w:r w:rsidR="008D64BE" w:rsidRPr="008D64BE">
        <w:t xml:space="preserve"> </w:t>
      </w:r>
      <w:proofErr w:type="spellStart"/>
      <w:r w:rsidR="008D64BE" w:rsidRPr="008D64BE">
        <w:rPr>
          <w:i/>
          <w:iCs/>
          <w:lang w:val="en-GB"/>
        </w:rPr>
        <w:t>txSwitchWithAnotherBand</w:t>
      </w:r>
      <w:proofErr w:type="spellEnd"/>
      <w:r w:rsidR="008D64BE">
        <w:rPr>
          <w:lang w:val="en-GB"/>
        </w:rPr>
        <w:t xml:space="preserve">.  The amount of </w:t>
      </w:r>
      <w:r w:rsidR="001302C4">
        <w:rPr>
          <w:lang w:val="en-GB"/>
        </w:rPr>
        <w:t xml:space="preserve">allowed </w:t>
      </w:r>
      <w:r w:rsidR="008D64BE">
        <w:rPr>
          <w:lang w:val="en-GB"/>
        </w:rPr>
        <w:t>interruption is provided</w:t>
      </w:r>
      <w:r w:rsidR="00636D9F">
        <w:rPr>
          <w:lang w:val="en-GB"/>
        </w:rPr>
        <w:t xml:space="preserve"> according to the number of SRS symbols and whether cells are synchronous or asynchronous, and the network can according</w:t>
      </w:r>
      <w:r w:rsidR="00987C89">
        <w:rPr>
          <w:lang w:val="en-GB"/>
        </w:rPr>
        <w:t>ly</w:t>
      </w:r>
      <w:r w:rsidR="00636D9F">
        <w:rPr>
          <w:lang w:val="en-GB"/>
        </w:rPr>
        <w:t xml:space="preserve"> determine where and how long the interruptions can be.</w:t>
      </w:r>
      <w:r w:rsidR="001302C4">
        <w:rPr>
          <w:lang w:val="en-GB"/>
        </w:rPr>
        <w:t xml:space="preserve"> </w:t>
      </w:r>
    </w:p>
    <w:tbl>
      <w:tblPr>
        <w:tblStyle w:val="TableGrid"/>
        <w:tblW w:w="0" w:type="auto"/>
        <w:tblLook w:val="04A0" w:firstRow="1" w:lastRow="0" w:firstColumn="1" w:lastColumn="0" w:noHBand="0" w:noVBand="1"/>
      </w:tblPr>
      <w:tblGrid>
        <w:gridCol w:w="9350"/>
      </w:tblGrid>
      <w:tr w:rsidR="007B63F8" w:rsidRPr="00BF4875" w14:paraId="5E932CAC" w14:textId="77777777" w:rsidTr="001B751A">
        <w:tc>
          <w:tcPr>
            <w:tcW w:w="0" w:type="auto"/>
          </w:tcPr>
          <w:p w14:paraId="1B7840B5" w14:textId="0AEE3FF0" w:rsidR="007B63F8" w:rsidRPr="00EE3A93" w:rsidRDefault="007B63F8" w:rsidP="00405255">
            <w:r w:rsidRPr="006A0479">
              <w:t xml:space="preserve">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p>
          <w:p w14:paraId="6F570D4F" w14:textId="77777777" w:rsidR="007B63F8" w:rsidRPr="000649EF" w:rsidRDefault="007B63F8" w:rsidP="00405255">
            <w:pPr>
              <w:rPr>
                <w:rFonts w:eastAsia="Malgun Gothic"/>
              </w:rPr>
            </w:pPr>
            <w:r w:rsidRPr="000649EF">
              <w:rPr>
                <w:rFonts w:eastAsia="Malgun Gothic"/>
              </w:rPr>
              <w:t xml:space="preserve">The UE shall perform SRS antenna port switching only if the below conditions are met. </w:t>
            </w:r>
          </w:p>
          <w:p w14:paraId="79A67A52" w14:textId="77777777" w:rsidR="007B63F8" w:rsidRPr="008A7648" w:rsidRDefault="007B63F8" w:rsidP="00405255">
            <w:pPr>
              <w:ind w:left="568" w:hanging="284"/>
              <w:rPr>
                <w:rFonts w:eastAsia="Malgun Gothic"/>
              </w:rPr>
            </w:pPr>
            <w:bookmarkStart w:id="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bookmarkEnd w:id="2"/>
          <w:p w14:paraId="02AF87EA" w14:textId="77777777" w:rsidR="007B63F8" w:rsidRPr="000649EF" w:rsidRDefault="007B63F8" w:rsidP="00405255">
            <w:pPr>
              <w:ind w:left="568" w:hanging="284"/>
              <w:rPr>
                <w:rFonts w:eastAsia="Malgun Gothic"/>
              </w:rPr>
            </w:pPr>
            <w:r w:rsidRPr="000649EF">
              <w:rPr>
                <w:rFonts w:eastAsia="Malgun Gothic"/>
              </w:rPr>
              <w:t>-</w:t>
            </w:r>
            <w:r w:rsidRPr="000649EF">
              <w:rPr>
                <w:rFonts w:eastAsia="Malgun Gothic"/>
              </w:rPr>
              <w:tab/>
              <w:t>the SRS switching is not colliding with any NR measurements (</w:t>
            </w:r>
            <w:proofErr w:type="gramStart"/>
            <w:r w:rsidRPr="000649EF">
              <w:rPr>
                <w:rFonts w:eastAsia="Malgun Gothic"/>
              </w:rPr>
              <w:t>i.e.</w:t>
            </w:r>
            <w:proofErr w:type="gramEnd"/>
            <w:r w:rsidRPr="000649EF">
              <w:rPr>
                <w:rFonts w:eastAsia="Malgun Gothic"/>
              </w:rPr>
              <w:t xml:space="preserv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proofErr w:type="spellStart"/>
            <w:r w:rsidRPr="008A7648">
              <w:rPr>
                <w:i/>
                <w:iCs/>
              </w:rPr>
              <w:t>txSwitchImpactToRx</w:t>
            </w:r>
            <w:proofErr w:type="spellEnd"/>
            <w:r w:rsidRPr="000649EF">
              <w:rPr>
                <w:i/>
                <w:iCs/>
              </w:rPr>
              <w:t xml:space="preserve"> </w:t>
            </w:r>
            <w:r w:rsidRPr="000649EF">
              <w:rPr>
                <w:rFonts w:eastAsia="Malgun Gothic"/>
              </w:rPr>
              <w:t xml:space="preserve">or is the same carrier on which SRS is transmitted. </w:t>
            </w:r>
          </w:p>
          <w:p w14:paraId="22FDD3AE" w14:textId="77777777" w:rsidR="007B63F8" w:rsidRDefault="007B63F8" w:rsidP="00405255">
            <w:pPr>
              <w:rPr>
                <w:rFonts w:eastAsia="Malgun Gothic"/>
              </w:rPr>
            </w:pPr>
            <w:r w:rsidRPr="001A050E">
              <w:rPr>
                <w:rFonts w:eastAsia="Malgun Gothic"/>
              </w:rPr>
              <w:t xml:space="preserve">No requirements </w:t>
            </w:r>
            <w:r w:rsidRPr="001A050E">
              <w:rPr>
                <w:rFonts w:eastAsia="Malgun Gothic" w:hint="eastAsia"/>
              </w:rPr>
              <w:t>are defined for SRS antenna port switching</w:t>
            </w:r>
            <w:r w:rsidRPr="001A050E">
              <w:rPr>
                <w:rFonts w:eastAsia="Malgun Gothic"/>
              </w:rPr>
              <w:t xml:space="preserve"> if aperiodic SRS switching is colliding with aperiodic L1-RSRP/L1-SINR measurements and the serving cell on which the aperiodic L1-RSRP/L1-SINR measurement is configured is indicated in </w:t>
            </w:r>
            <w:proofErr w:type="spellStart"/>
            <w:r w:rsidRPr="001A050E">
              <w:rPr>
                <w:rFonts w:eastAsia="Malgun Gothic"/>
                <w:i/>
                <w:iCs/>
              </w:rPr>
              <w:t>txSwitchImpactToRx</w:t>
            </w:r>
            <w:proofErr w:type="spellEnd"/>
            <w:r w:rsidRPr="001A050E">
              <w:rPr>
                <w:rFonts w:eastAsia="Malgun Gothic"/>
              </w:rPr>
              <w:t xml:space="preserve"> or is the same carrier on which aperiodic SRS is scheduled/configured.</w:t>
            </w:r>
          </w:p>
          <w:p w14:paraId="7EAE927A" w14:textId="77777777" w:rsidR="007B63F8" w:rsidRDefault="007B63F8" w:rsidP="00405255">
            <w:pPr>
              <w:rPr>
                <w:rFonts w:eastAsia="Malgun Gothic"/>
              </w:rPr>
            </w:pPr>
            <w:r w:rsidRPr="001A050E">
              <w:rPr>
                <w:rFonts w:eastAsia="Malgun Gothic"/>
              </w:rPr>
              <w:t>No requirements apply when SRS antenna port switching is colliding with E-UTRA measurement if the carrier on which the E-UTRA measurement is performed is indicated in </w:t>
            </w:r>
            <w:proofErr w:type="spellStart"/>
            <w:r w:rsidRPr="001A050E">
              <w:rPr>
                <w:rFonts w:eastAsia="Malgun Gothic"/>
                <w:i/>
                <w:iCs/>
              </w:rPr>
              <w:t>txSwitchImpactToRx</w:t>
            </w:r>
            <w:proofErr w:type="spellEnd"/>
            <w:r w:rsidRPr="001A050E">
              <w:rPr>
                <w:rFonts w:eastAsia="Malgun Gothic"/>
              </w:rPr>
              <w:t xml:space="preserve"> or is the same carrier on which SRS is scheduled/</w:t>
            </w:r>
            <w:proofErr w:type="spellStart"/>
            <w:r w:rsidRPr="001A050E">
              <w:rPr>
                <w:rFonts w:eastAsia="Malgun Gothic"/>
              </w:rPr>
              <w:t>configured.When</w:t>
            </w:r>
            <w:proofErr w:type="spellEnd"/>
            <w:r w:rsidRPr="001A050E">
              <w:rPr>
                <w:rFonts w:eastAsia="Malgun Gothic"/>
              </w:rPr>
              <w:t xml:space="preserve"> 1 SRS symbol is configured in a slot for SRS antenna switching and the aggressor and victim cells are synchronized, the interruption requirement in Table 8.2.1.2.18-1 applies. </w:t>
            </w:r>
          </w:p>
          <w:p w14:paraId="0A36421E" w14:textId="77777777" w:rsidR="007B63F8" w:rsidRPr="00BF4875" w:rsidRDefault="007B63F8" w:rsidP="00405255">
            <w:pPr>
              <w:rPr>
                <w:lang w:eastAsia="x-none"/>
              </w:rPr>
            </w:pPr>
            <w:r w:rsidRPr="001A050E">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tc>
      </w:tr>
    </w:tbl>
    <w:p w14:paraId="22BC2E51" w14:textId="23C6ADF7" w:rsidR="007B63F8" w:rsidRDefault="007B63F8" w:rsidP="00633709">
      <w:pPr>
        <w:spacing w:after="0"/>
        <w:rPr>
          <w:b/>
          <w:bCs/>
          <w:lang w:val="en-GB"/>
        </w:rPr>
      </w:pPr>
    </w:p>
    <w:p w14:paraId="29291242" w14:textId="5F98C5EE" w:rsidR="00CE0119" w:rsidRDefault="00CE0119" w:rsidP="00633709">
      <w:pPr>
        <w:spacing w:after="0"/>
        <w:rPr>
          <w:lang w:val="en-GB"/>
        </w:rPr>
      </w:pPr>
      <w:r>
        <w:rPr>
          <w:lang w:val="en-GB"/>
        </w:rPr>
        <w:t xml:space="preserve">The </w:t>
      </w:r>
      <w:proofErr w:type="spellStart"/>
      <w:r>
        <w:rPr>
          <w:lang w:val="en-GB"/>
        </w:rPr>
        <w:t>behavior</w:t>
      </w:r>
      <w:proofErr w:type="spellEnd"/>
      <w:r>
        <w:rPr>
          <w:lang w:val="en-GB"/>
        </w:rPr>
        <w:t xml:space="preserve"> for </w:t>
      </w:r>
      <w:proofErr w:type="spellStart"/>
      <w:r w:rsidRPr="008D64BE">
        <w:rPr>
          <w:i/>
          <w:iCs/>
          <w:lang w:val="en-GB"/>
        </w:rPr>
        <w:t>txSwitchWithAnotherBand</w:t>
      </w:r>
      <w:proofErr w:type="spellEnd"/>
      <w:r>
        <w:rPr>
          <w:lang w:val="en-GB"/>
        </w:rPr>
        <w:t xml:space="preserve"> </w:t>
      </w:r>
      <w:r w:rsidRPr="007B63F8">
        <w:rPr>
          <w:lang w:val="en-GB"/>
        </w:rPr>
        <w:t>is defined somewhat differently in 38.133 for EN-DC, CA, NE-DC, and NR-DC</w:t>
      </w:r>
      <w:r>
        <w:rPr>
          <w:lang w:val="en-GB"/>
        </w:rPr>
        <w:t xml:space="preserve">.  Addressing each of these in 38.214 could be complicated, and these kinds of CA, DC, and synchronous/asynchronous related configurations seem better suited to </w:t>
      </w:r>
      <w:r w:rsidRPr="007B63F8">
        <w:rPr>
          <w:lang w:val="en-GB"/>
        </w:rPr>
        <w:t>38.133 than 38.214</w:t>
      </w:r>
      <w:r>
        <w:rPr>
          <w:lang w:val="en-GB"/>
        </w:rPr>
        <w:t>.</w:t>
      </w:r>
    </w:p>
    <w:p w14:paraId="02EE13E1" w14:textId="027D5F1B" w:rsidR="00CE0119" w:rsidRDefault="00CE0119" w:rsidP="00633709">
      <w:pPr>
        <w:spacing w:after="0"/>
        <w:rPr>
          <w:lang w:val="en-GB"/>
        </w:rPr>
      </w:pPr>
    </w:p>
    <w:p w14:paraId="1EB6436A" w14:textId="4B628E29" w:rsidR="00CE0119" w:rsidRDefault="00CF2A6B" w:rsidP="00CF2A6B">
      <w:pPr>
        <w:pStyle w:val="Observation"/>
        <w:rPr>
          <w:lang w:val="en-GB"/>
        </w:rPr>
      </w:pPr>
      <w:bookmarkStart w:id="3" w:name="_Toc142489219"/>
      <w:r>
        <w:rPr>
          <w:lang w:val="en-GB"/>
        </w:rPr>
        <w:lastRenderedPageBreak/>
        <w:t>I</w:t>
      </w:r>
      <w:r w:rsidR="00CE0119">
        <w:rPr>
          <w:lang w:val="en-GB"/>
        </w:rPr>
        <w:t xml:space="preserve">nterruptions for </w:t>
      </w:r>
      <w:r w:rsidR="00CE0119" w:rsidRPr="0049735E">
        <w:rPr>
          <w:lang w:val="en-GB"/>
        </w:rPr>
        <w:t>FDD+TDD combinations using SRS antenna switching</w:t>
      </w:r>
      <w:r w:rsidR="00CE0119">
        <w:rPr>
          <w:lang w:val="en-GB"/>
        </w:rPr>
        <w:t xml:space="preserve"> are specified differently for EN-DC, CA, NE-DC, and NR-DC, </w:t>
      </w:r>
      <w:r>
        <w:rPr>
          <w:lang w:val="en-GB"/>
        </w:rPr>
        <w:t>synchronous vs. asynchronous, etc.  Such considerations are better suited for RAN4 rather than RAN1 specifications.</w:t>
      </w:r>
      <w:bookmarkEnd w:id="3"/>
    </w:p>
    <w:p w14:paraId="3E498157" w14:textId="578F2270" w:rsidR="007921D6" w:rsidRDefault="002C757F" w:rsidP="00633709">
      <w:pPr>
        <w:spacing w:after="0"/>
        <w:rPr>
          <w:lang w:val="en-GB"/>
        </w:rPr>
      </w:pPr>
      <w:r>
        <w:rPr>
          <w:lang w:val="en-GB"/>
        </w:rPr>
        <w:t xml:space="preserve">During the RAN1#112bis-e discussions, it was stated that while 38.133 </w:t>
      </w:r>
      <w:r w:rsidRPr="002C757F">
        <w:rPr>
          <w:lang w:val="en-GB"/>
        </w:rPr>
        <w:t xml:space="preserve">specifies the interruption length, there’s no clear statement on whether UEs can use different antenna port between those bands, </w:t>
      </w:r>
      <w:r>
        <w:rPr>
          <w:lang w:val="en-GB"/>
        </w:rPr>
        <w:t xml:space="preserve">and so </w:t>
      </w:r>
      <w:r w:rsidRPr="002C757F">
        <w:rPr>
          <w:lang w:val="en-GB"/>
        </w:rPr>
        <w:t>the UE behaviour is not clear.</w:t>
      </w:r>
      <w:r>
        <w:rPr>
          <w:lang w:val="en-GB"/>
        </w:rPr>
        <w:t xml:space="preserve">  Our understanding is that </w:t>
      </w:r>
      <w:r w:rsidR="007921D6">
        <w:rPr>
          <w:lang w:val="en-GB"/>
        </w:rPr>
        <w:t xml:space="preserve">38.133 allows an interruption on the victim cell regardless of which antenna port the aggressor or victim is using.  </w:t>
      </w:r>
      <w:proofErr w:type="gramStart"/>
      <w:r w:rsidR="007921D6">
        <w:rPr>
          <w:lang w:val="en-GB"/>
        </w:rPr>
        <w:t>Therefore</w:t>
      </w:r>
      <w:proofErr w:type="gramEnd"/>
      <w:r w:rsidR="007921D6">
        <w:rPr>
          <w:lang w:val="en-GB"/>
        </w:rPr>
        <w:t xml:space="preserve"> the spec is clear: interruption is independent of antenna port.</w:t>
      </w:r>
    </w:p>
    <w:p w14:paraId="07C9CCFD" w14:textId="5B607294" w:rsidR="0049735E" w:rsidRDefault="0049735E" w:rsidP="00633709">
      <w:pPr>
        <w:spacing w:after="0"/>
        <w:rPr>
          <w:lang w:val="en-GB"/>
        </w:rPr>
      </w:pPr>
    </w:p>
    <w:p w14:paraId="1E187F18" w14:textId="75183BB9" w:rsidR="0049735E" w:rsidRDefault="0049735E" w:rsidP="0049735E">
      <w:pPr>
        <w:pStyle w:val="Observation"/>
        <w:rPr>
          <w:lang w:val="en-GB"/>
        </w:rPr>
      </w:pPr>
      <w:bookmarkStart w:id="4" w:name="_Toc142489220"/>
      <w:r>
        <w:rPr>
          <w:lang w:val="en-GB"/>
        </w:rPr>
        <w:t xml:space="preserve">38.133 defines the </w:t>
      </w:r>
      <w:r w:rsidR="006837BF">
        <w:rPr>
          <w:lang w:val="en-GB"/>
        </w:rPr>
        <w:t xml:space="preserve">allowed </w:t>
      </w:r>
      <w:r>
        <w:rPr>
          <w:lang w:val="en-GB"/>
        </w:rPr>
        <w:t xml:space="preserve">interruptions for </w:t>
      </w:r>
      <w:r w:rsidRPr="0049735E">
        <w:rPr>
          <w:lang w:val="en-GB"/>
        </w:rPr>
        <w:t>FDD+TDD combinations using SRS antenna switching</w:t>
      </w:r>
      <w:r>
        <w:rPr>
          <w:lang w:val="en-GB"/>
        </w:rPr>
        <w:t xml:space="preserve">, and these are independent of antenna </w:t>
      </w:r>
      <w:proofErr w:type="gramStart"/>
      <w:r>
        <w:rPr>
          <w:lang w:val="en-GB"/>
        </w:rPr>
        <w:t>ports</w:t>
      </w:r>
      <w:bookmarkEnd w:id="4"/>
      <w:proofErr w:type="gramEnd"/>
    </w:p>
    <w:p w14:paraId="6B310FB8" w14:textId="176FC9F7" w:rsidR="0049735E" w:rsidRDefault="007921D6" w:rsidP="0027179E">
      <w:pPr>
        <w:spacing w:after="180"/>
        <w:rPr>
          <w:lang w:val="en-GB"/>
        </w:rPr>
      </w:pPr>
      <w:r>
        <w:rPr>
          <w:lang w:val="en-GB"/>
        </w:rPr>
        <w:t xml:space="preserve">Specifying </w:t>
      </w:r>
      <w:proofErr w:type="spellStart"/>
      <w:r>
        <w:rPr>
          <w:lang w:val="en-GB"/>
        </w:rPr>
        <w:t>behavior</w:t>
      </w:r>
      <w:proofErr w:type="spellEnd"/>
      <w:r>
        <w:rPr>
          <w:lang w:val="en-GB"/>
        </w:rPr>
        <w:t xml:space="preserve"> </w:t>
      </w:r>
      <w:proofErr w:type="gramStart"/>
      <w:r>
        <w:rPr>
          <w:lang w:val="en-GB"/>
        </w:rPr>
        <w:t>similar to</w:t>
      </w:r>
      <w:proofErr w:type="gramEnd"/>
      <w:r>
        <w:rPr>
          <w:lang w:val="en-GB"/>
        </w:rPr>
        <w:t xml:space="preserve"> that of </w:t>
      </w:r>
      <w:r>
        <w:rPr>
          <w:lang w:val="en-GB"/>
        </w:rPr>
        <w:fldChar w:fldCharType="begin"/>
      </w:r>
      <w:r>
        <w:rPr>
          <w:lang w:val="en-GB"/>
        </w:rPr>
        <w:instrText xml:space="preserve"> REF _Ref142481908 \r \h </w:instrText>
      </w:r>
      <w:r>
        <w:rPr>
          <w:lang w:val="en-GB"/>
        </w:rPr>
      </w:r>
      <w:r>
        <w:rPr>
          <w:lang w:val="en-GB"/>
        </w:rPr>
        <w:fldChar w:fldCharType="separate"/>
      </w:r>
      <w:r>
        <w:rPr>
          <w:lang w:val="en-GB"/>
        </w:rPr>
        <w:t>[4]</w:t>
      </w:r>
      <w:r>
        <w:rPr>
          <w:lang w:val="en-GB"/>
        </w:rPr>
        <w:fldChar w:fldCharType="end"/>
      </w:r>
      <w:r>
        <w:rPr>
          <w:lang w:val="en-GB"/>
        </w:rPr>
        <w:t xml:space="preserve"> was also discussed during RAN1#112bis-e.  It was observed that LTE has </w:t>
      </w:r>
      <w:r w:rsidR="008F6D19">
        <w:rPr>
          <w:lang w:val="en-GB"/>
        </w:rPr>
        <w:t xml:space="preserve">a </w:t>
      </w:r>
      <w:proofErr w:type="gramStart"/>
      <w:r>
        <w:rPr>
          <w:lang w:val="en-GB"/>
        </w:rPr>
        <w:t>one to one</w:t>
      </w:r>
      <w:proofErr w:type="gramEnd"/>
      <w:r>
        <w:rPr>
          <w:lang w:val="en-GB"/>
        </w:rPr>
        <w:t xml:space="preserve"> relationship between SRS and PUSCH ports, whereas NR has the notion of SRS resources and a loose coupling between SRS and PUSCH DMRS ports.  </w:t>
      </w:r>
      <w:proofErr w:type="gramStart"/>
      <w:r>
        <w:rPr>
          <w:lang w:val="en-GB"/>
        </w:rPr>
        <w:t>In particular, there</w:t>
      </w:r>
      <w:proofErr w:type="gramEnd"/>
      <w:r>
        <w:rPr>
          <w:lang w:val="en-GB"/>
        </w:rPr>
        <w:t xml:space="preserve"> is no fixed relationship of ports across bands in NR</w:t>
      </w:r>
      <w:r w:rsidR="002858D6">
        <w:rPr>
          <w:lang w:val="en-GB"/>
        </w:rPr>
        <w:t>, and SRS resources with usage ‘antenna switching’ are separately defined from those with usage ‘codebook’ and ‘</w:t>
      </w:r>
      <w:proofErr w:type="spellStart"/>
      <w:r w:rsidR="002858D6">
        <w:rPr>
          <w:lang w:val="en-GB"/>
        </w:rPr>
        <w:t>noncodebook</w:t>
      </w:r>
      <w:proofErr w:type="spellEnd"/>
      <w:r w:rsidR="002858D6">
        <w:rPr>
          <w:lang w:val="en-GB"/>
        </w:rPr>
        <w:t xml:space="preserve">’.  Therefore, even if interruption were dependent on antenna ports, the relationship of different SRS and </w:t>
      </w:r>
      <w:r w:rsidR="0049735E">
        <w:rPr>
          <w:lang w:val="en-GB"/>
        </w:rPr>
        <w:t>PUSCH DMRS ports across bands is not specified.</w:t>
      </w:r>
    </w:p>
    <w:p w14:paraId="67576C50" w14:textId="1DBA2C15" w:rsidR="0049735E" w:rsidRDefault="0049735E" w:rsidP="006A468F">
      <w:pPr>
        <w:pStyle w:val="Observation"/>
        <w:rPr>
          <w:lang w:val="en-GB"/>
        </w:rPr>
      </w:pPr>
      <w:bookmarkStart w:id="5" w:name="_Toc142489221"/>
      <w:r>
        <w:rPr>
          <w:lang w:val="en-GB"/>
        </w:rPr>
        <w:t xml:space="preserve">While LTE has a </w:t>
      </w:r>
      <w:proofErr w:type="gramStart"/>
      <w:r>
        <w:rPr>
          <w:lang w:val="en-GB"/>
        </w:rPr>
        <w:t>one to one</w:t>
      </w:r>
      <w:proofErr w:type="gramEnd"/>
      <w:r>
        <w:rPr>
          <w:lang w:val="en-GB"/>
        </w:rPr>
        <w:t xml:space="preserve"> SRS to PUSCH antenna port mapping, NR does not, and port mapping across bands for PUSCH and SRS is UE implementation</w:t>
      </w:r>
      <w:r w:rsidR="006A468F">
        <w:rPr>
          <w:lang w:val="en-GB"/>
        </w:rPr>
        <w:t xml:space="preserve"> for NR</w:t>
      </w:r>
      <w:r>
        <w:rPr>
          <w:lang w:val="en-GB"/>
        </w:rPr>
        <w:t>.</w:t>
      </w:r>
      <w:bookmarkEnd w:id="5"/>
    </w:p>
    <w:p w14:paraId="0A39E5D1" w14:textId="53CB157E" w:rsidR="00FA7071" w:rsidRDefault="00FA7071" w:rsidP="00FA7071">
      <w:pPr>
        <w:rPr>
          <w:lang w:val="en-GB"/>
        </w:rPr>
      </w:pPr>
      <w:r>
        <w:rPr>
          <w:lang w:val="en-GB"/>
        </w:rPr>
        <w:t xml:space="preserve">Given the above, it could be complicated to specify SRS antenna switching port constraints </w:t>
      </w:r>
      <w:proofErr w:type="gramStart"/>
      <w:r>
        <w:rPr>
          <w:lang w:val="en-GB"/>
        </w:rPr>
        <w:t>taking into account</w:t>
      </w:r>
      <w:proofErr w:type="gramEnd"/>
      <w:r>
        <w:rPr>
          <w:lang w:val="en-GB"/>
        </w:rPr>
        <w:t xml:space="preserve"> CA/DC </w:t>
      </w:r>
      <w:proofErr w:type="spellStart"/>
      <w:r>
        <w:rPr>
          <w:lang w:val="en-GB"/>
        </w:rPr>
        <w:t>behaviors</w:t>
      </w:r>
      <w:proofErr w:type="spellEnd"/>
      <w:r>
        <w:rPr>
          <w:lang w:val="en-GB"/>
        </w:rPr>
        <w:t>, and these are anyway already captured in 38.133.  New constraints on port mapping would also be needed, since the relationship of different SRS and PUSCH DMRS ports across bands is not specified. Such specifications may not be consistent with 38.133, since interruptions are specified independently of the antenna ports used on victim and aggressor.  Therefore, it seems relying on 38.133 as presently specified is the best course of action.</w:t>
      </w:r>
    </w:p>
    <w:p w14:paraId="49D87421" w14:textId="39E9E1D6" w:rsidR="00641A1D" w:rsidRDefault="00641A1D" w:rsidP="00641A1D">
      <w:pPr>
        <w:pStyle w:val="Proposal"/>
        <w:rPr>
          <w:lang w:val="en-GB"/>
        </w:rPr>
      </w:pPr>
      <w:bookmarkStart w:id="6" w:name="_Toc142489222"/>
      <w:r>
        <w:rPr>
          <w:lang w:val="en-GB"/>
        </w:rPr>
        <w:t xml:space="preserve">RAN1 concludes that </w:t>
      </w:r>
      <w:r w:rsidR="00FA7071" w:rsidRPr="00FA7071">
        <w:rPr>
          <w:lang w:val="en-GB"/>
        </w:rPr>
        <w:t xml:space="preserve">UE follows requirements specified in 38.133 for </w:t>
      </w:r>
      <w:r w:rsidR="00FA7071">
        <w:rPr>
          <w:lang w:val="en-GB"/>
        </w:rPr>
        <w:t xml:space="preserve">transmission </w:t>
      </w:r>
      <w:r w:rsidR="00FA7071" w:rsidRPr="00FA7071">
        <w:rPr>
          <w:lang w:val="en-GB"/>
        </w:rPr>
        <w:t xml:space="preserve">on bands reported by </w:t>
      </w:r>
      <w:proofErr w:type="spellStart"/>
      <w:proofErr w:type="gramStart"/>
      <w:r w:rsidR="00FA7071" w:rsidRPr="00FA7071">
        <w:rPr>
          <w:i/>
          <w:iCs/>
        </w:rPr>
        <w:t>txSwitchWithAnotherBand</w:t>
      </w:r>
      <w:bookmarkEnd w:id="6"/>
      <w:proofErr w:type="spellEnd"/>
      <w:proofErr w:type="gramEnd"/>
    </w:p>
    <w:p w14:paraId="364330B6" w14:textId="03C061DC" w:rsidR="00047B44" w:rsidRPr="00047B44" w:rsidRDefault="00641A1D" w:rsidP="00760291">
      <w:pPr>
        <w:pStyle w:val="Proposal"/>
        <w:rPr>
          <w:lang w:val="en-GB"/>
        </w:rPr>
      </w:pPr>
      <w:bookmarkStart w:id="7" w:name="_Toc142489223"/>
      <w:r>
        <w:rPr>
          <w:lang w:val="en-GB"/>
        </w:rPr>
        <w:t xml:space="preserve">Inform RAN4 that the LTE constraints on simultaneous transmission using different ports in different cells are not </w:t>
      </w:r>
      <w:r w:rsidR="00BC562B">
        <w:rPr>
          <w:lang w:val="en-GB"/>
        </w:rPr>
        <w:t xml:space="preserve">compatible with </w:t>
      </w:r>
      <w:r>
        <w:rPr>
          <w:lang w:val="en-GB"/>
        </w:rPr>
        <w:t>NR TDD+FDD SRS antenna switching</w:t>
      </w:r>
      <w:r w:rsidR="00760291">
        <w:rPr>
          <w:lang w:val="en-GB"/>
        </w:rPr>
        <w:t xml:space="preserve">, and RAN1’s understanding is that 38.133 is sufficient to characterize the </w:t>
      </w:r>
      <w:r w:rsidR="00760291" w:rsidRPr="00760291">
        <w:rPr>
          <w:lang w:val="en-GB"/>
        </w:rPr>
        <w:t>impact on FDD Rx for the FDD band in an FDD+TDD combination caused by SRS antenna switching</w:t>
      </w:r>
      <w:r w:rsidR="00760291">
        <w:rPr>
          <w:lang w:val="en-GB"/>
        </w:rPr>
        <w:t>.</w:t>
      </w:r>
      <w:bookmarkEnd w:id="7"/>
      <w:r w:rsidR="00760291">
        <w:rPr>
          <w:lang w:val="en-GB"/>
        </w:rPr>
        <w:t xml:space="preserve">  </w:t>
      </w:r>
    </w:p>
    <w:p w14:paraId="0DC1A7E6" w14:textId="35991545" w:rsidR="004F7D6E" w:rsidRDefault="004F7D6E" w:rsidP="004F7D6E">
      <w:pPr>
        <w:pStyle w:val="Heading1"/>
      </w:pPr>
      <w:r>
        <w:t>Summary</w:t>
      </w:r>
    </w:p>
    <w:p w14:paraId="3188DB8A" w14:textId="2D074BB2" w:rsidR="00A16AD7" w:rsidRDefault="00A16AD7" w:rsidP="0027179E">
      <w:pPr>
        <w:spacing w:after="180"/>
      </w:pPr>
      <w:r>
        <w:t xml:space="preserve">In this contribution, we have considered LS </w:t>
      </w:r>
      <w:r>
        <w:fldChar w:fldCharType="begin"/>
      </w:r>
      <w:r>
        <w:instrText xml:space="preserve"> REF _Ref101380969 \r \h </w:instrText>
      </w:r>
      <w:r>
        <w:fldChar w:fldCharType="separate"/>
      </w:r>
      <w:r>
        <w:t>[1]</w:t>
      </w:r>
      <w:r>
        <w:fldChar w:fldCharType="end"/>
      </w:r>
      <w:r>
        <w:t xml:space="preserve"> where RAN4 raised the issue of </w:t>
      </w:r>
      <w:r w:rsidRPr="00D72E8B">
        <w:t>impact on FDD Rx for the FDD band in an FDD+TDD combination caused by SRS antenna switching</w:t>
      </w:r>
      <w:r>
        <w:t>.  We reviewed the issues discussed, considered the benefits of potential RAN1 specification changes, and propose</w:t>
      </w:r>
      <w:r w:rsidR="005A259C">
        <w:t>d</w:t>
      </w:r>
      <w:r>
        <w:t xml:space="preserve"> a resolution for the issue.</w:t>
      </w:r>
    </w:p>
    <w:p w14:paraId="3D2245AC" w14:textId="75E8E419" w:rsidR="0018281C" w:rsidRPr="004B3AAC" w:rsidRDefault="00032BFF" w:rsidP="0018281C">
      <w:pPr>
        <w:pStyle w:val="BodyText"/>
        <w:rPr>
          <w:rFonts w:cstheme="minorHAnsi"/>
        </w:rPr>
      </w:pPr>
      <w:r>
        <w:rPr>
          <w:rFonts w:cstheme="minorHAnsi"/>
        </w:rPr>
        <w:lastRenderedPageBreak/>
        <w:t>W</w:t>
      </w:r>
      <w:r w:rsidR="0018281C">
        <w:rPr>
          <w:rFonts w:cstheme="minorHAnsi"/>
        </w:rPr>
        <w:t xml:space="preserve">e made the following </w:t>
      </w:r>
      <w:r w:rsidR="0018281C" w:rsidRPr="004B3AAC">
        <w:rPr>
          <w:rFonts w:cstheme="minorHAnsi"/>
        </w:rPr>
        <w:t>observations</w:t>
      </w:r>
      <w:r w:rsidR="0018281C">
        <w:rPr>
          <w:rFonts w:cstheme="minorHAnsi"/>
        </w:rPr>
        <w:t>:</w:t>
      </w:r>
    </w:p>
    <w:p w14:paraId="7480F3A1" w14:textId="4802B043" w:rsidR="0018281C" w:rsidRDefault="0018281C">
      <w:pPr>
        <w:pStyle w:val="TableofFigures"/>
        <w:tabs>
          <w:tab w:val="right" w:leader="dot" w:pos="9350"/>
        </w:tabs>
        <w:rPr>
          <w:rFonts w:eastAsiaTheme="minorEastAsia"/>
          <w:b w:val="0"/>
          <w:noProof/>
        </w:rPr>
      </w:pPr>
      <w:r>
        <w:rPr>
          <w:b w:val="0"/>
          <w:bCs/>
        </w:rPr>
        <w:fldChar w:fldCharType="begin"/>
      </w:r>
      <w:r>
        <w:rPr>
          <w:b w:val="0"/>
          <w:bCs/>
        </w:rPr>
        <w:instrText xml:space="preserve"> TOC \f O \n \h \z \t "Observation" \c </w:instrText>
      </w:r>
      <w:r>
        <w:rPr>
          <w:b w:val="0"/>
          <w:bCs/>
        </w:rPr>
        <w:fldChar w:fldCharType="separate"/>
      </w:r>
      <w:hyperlink w:anchor="_Toc142489218" w:history="1">
        <w:r w:rsidRPr="00F60AE8">
          <w:rPr>
            <w:rStyle w:val="Hyperlink"/>
            <w:noProof/>
          </w:rPr>
          <w:t>Observation 1</w:t>
        </w:r>
        <w:r>
          <w:rPr>
            <w:rFonts w:eastAsiaTheme="minorEastAsia"/>
            <w:b w:val="0"/>
            <w:noProof/>
          </w:rPr>
          <w:tab/>
        </w:r>
        <w:r w:rsidRPr="00F60AE8">
          <w:rPr>
            <w:rStyle w:val="Hyperlink"/>
            <w:noProof/>
          </w:rPr>
          <w:t>A conclusion was reached for email discussion [112bis-e-AI7.1-16] regarding downlink reception aspects for FDD+TDD combinations using SRS antenna switching, so only uplink transmission is to be further discussed.</w:t>
        </w:r>
      </w:hyperlink>
    </w:p>
    <w:p w14:paraId="120F591F" w14:textId="2DD89F6E" w:rsidR="0018281C" w:rsidRDefault="007B4518">
      <w:pPr>
        <w:pStyle w:val="TableofFigures"/>
        <w:tabs>
          <w:tab w:val="right" w:leader="dot" w:pos="9350"/>
        </w:tabs>
        <w:rPr>
          <w:rFonts w:eastAsiaTheme="minorEastAsia"/>
          <w:b w:val="0"/>
          <w:noProof/>
        </w:rPr>
      </w:pPr>
      <w:hyperlink w:anchor="_Toc142489219" w:history="1">
        <w:r w:rsidR="0018281C" w:rsidRPr="00F60AE8">
          <w:rPr>
            <w:rStyle w:val="Hyperlink"/>
            <w:noProof/>
          </w:rPr>
          <w:t>Observation 2</w:t>
        </w:r>
        <w:r w:rsidR="0018281C">
          <w:rPr>
            <w:rFonts w:eastAsiaTheme="minorEastAsia"/>
            <w:b w:val="0"/>
            <w:noProof/>
          </w:rPr>
          <w:tab/>
        </w:r>
        <w:r w:rsidR="0018281C" w:rsidRPr="00F60AE8">
          <w:rPr>
            <w:rStyle w:val="Hyperlink"/>
            <w:noProof/>
          </w:rPr>
          <w:t>Interruptions for FDD+TDD combinations using SRS antenna switching are specified differently for EN-DC, CA, NE-DC, and NR-DC, synchronous vs. asynchronous, etc.  Such considerations are better suited for RAN4 rather than RAN1 specifications.</w:t>
        </w:r>
      </w:hyperlink>
    </w:p>
    <w:p w14:paraId="71DAAC3C" w14:textId="582F1897" w:rsidR="0018281C" w:rsidRDefault="007B4518">
      <w:pPr>
        <w:pStyle w:val="TableofFigures"/>
        <w:tabs>
          <w:tab w:val="right" w:leader="dot" w:pos="9350"/>
        </w:tabs>
        <w:rPr>
          <w:rFonts w:eastAsiaTheme="minorEastAsia"/>
          <w:b w:val="0"/>
          <w:noProof/>
        </w:rPr>
      </w:pPr>
      <w:hyperlink w:anchor="_Toc142489220" w:history="1">
        <w:r w:rsidR="0018281C" w:rsidRPr="00F60AE8">
          <w:rPr>
            <w:rStyle w:val="Hyperlink"/>
            <w:noProof/>
          </w:rPr>
          <w:t>Observation 3</w:t>
        </w:r>
        <w:r w:rsidR="0018281C">
          <w:rPr>
            <w:rFonts w:eastAsiaTheme="minorEastAsia"/>
            <w:b w:val="0"/>
            <w:noProof/>
          </w:rPr>
          <w:tab/>
        </w:r>
        <w:r w:rsidR="0018281C" w:rsidRPr="00F60AE8">
          <w:rPr>
            <w:rStyle w:val="Hyperlink"/>
            <w:noProof/>
          </w:rPr>
          <w:t>38.133 defines the allowed interruptions for FDD+TDD combinations using SRS antenna switching, and these are independent of antenna ports</w:t>
        </w:r>
      </w:hyperlink>
    </w:p>
    <w:p w14:paraId="6D0E7FEB" w14:textId="2611FA3E" w:rsidR="0018281C" w:rsidRDefault="007B4518">
      <w:pPr>
        <w:pStyle w:val="TableofFigures"/>
        <w:tabs>
          <w:tab w:val="right" w:leader="dot" w:pos="9350"/>
        </w:tabs>
        <w:rPr>
          <w:rFonts w:eastAsiaTheme="minorEastAsia"/>
          <w:b w:val="0"/>
          <w:noProof/>
        </w:rPr>
      </w:pPr>
      <w:hyperlink w:anchor="_Toc142489221" w:history="1">
        <w:r w:rsidR="0018281C" w:rsidRPr="00F60AE8">
          <w:rPr>
            <w:rStyle w:val="Hyperlink"/>
            <w:noProof/>
          </w:rPr>
          <w:t>Observation 4</w:t>
        </w:r>
        <w:r w:rsidR="0018281C">
          <w:rPr>
            <w:rFonts w:eastAsiaTheme="minorEastAsia"/>
            <w:b w:val="0"/>
            <w:noProof/>
          </w:rPr>
          <w:tab/>
        </w:r>
        <w:r w:rsidR="0018281C" w:rsidRPr="00F60AE8">
          <w:rPr>
            <w:rStyle w:val="Hyperlink"/>
            <w:noProof/>
          </w:rPr>
          <w:t>While LTE has a one to one SRS to PUSCH antenna port mapping, NR does not, and port mapping across bands for PUSCH and SRS is UE implementation for NR.</w:t>
        </w:r>
      </w:hyperlink>
    </w:p>
    <w:p w14:paraId="742BE6FE" w14:textId="3D8073CE" w:rsidR="0018281C" w:rsidRDefault="0018281C" w:rsidP="005A259C">
      <w:pPr>
        <w:spacing w:after="180"/>
      </w:pPr>
      <w:r>
        <w:rPr>
          <w:b/>
          <w:bCs/>
        </w:rPr>
        <w:fldChar w:fldCharType="end"/>
      </w:r>
      <w:r>
        <w:t>Which lead to the following proposals</w:t>
      </w:r>
      <w:r w:rsidR="005A259C">
        <w:t xml:space="preserve"> to resolve the open issues related to uplink transmission</w:t>
      </w:r>
      <w:r>
        <w:t>:</w:t>
      </w:r>
    </w:p>
    <w:p w14:paraId="59CD0B8E" w14:textId="1E029427" w:rsidR="0018281C" w:rsidRDefault="0018281C">
      <w:pPr>
        <w:pStyle w:val="TableofFigures"/>
        <w:tabs>
          <w:tab w:val="right" w:leader="dot" w:pos="9350"/>
        </w:tabs>
        <w:rPr>
          <w:rFonts w:eastAsiaTheme="minorEastAsia"/>
          <w:b w:val="0"/>
          <w:noProof/>
        </w:rPr>
      </w:pPr>
      <w:r>
        <w:rPr>
          <w:b w:val="0"/>
          <w:bCs/>
        </w:rPr>
        <w:fldChar w:fldCharType="begin"/>
      </w:r>
      <w:r>
        <w:rPr>
          <w:b w:val="0"/>
          <w:bCs/>
        </w:rPr>
        <w:instrText xml:space="preserve"> TOC \n \h \z \t "Proposal" \c </w:instrText>
      </w:r>
      <w:r>
        <w:rPr>
          <w:b w:val="0"/>
          <w:bCs/>
        </w:rPr>
        <w:fldChar w:fldCharType="separate"/>
      </w:r>
      <w:hyperlink w:anchor="_Toc142489222" w:history="1">
        <w:r w:rsidRPr="009D4DEE">
          <w:rPr>
            <w:rStyle w:val="Hyperlink"/>
            <w:noProof/>
          </w:rPr>
          <w:t>Proposal 1</w:t>
        </w:r>
        <w:r>
          <w:rPr>
            <w:rFonts w:eastAsiaTheme="minorEastAsia"/>
            <w:b w:val="0"/>
            <w:noProof/>
          </w:rPr>
          <w:tab/>
        </w:r>
        <w:r w:rsidRPr="009D4DEE">
          <w:rPr>
            <w:rStyle w:val="Hyperlink"/>
            <w:noProof/>
          </w:rPr>
          <w:t xml:space="preserve">RAN1 concludes that UE follows requirements specified in 38.101/133 for transmission on bands reported by </w:t>
        </w:r>
        <w:r w:rsidRPr="009D4DEE">
          <w:rPr>
            <w:rStyle w:val="Hyperlink"/>
            <w:i/>
            <w:iCs/>
            <w:noProof/>
          </w:rPr>
          <w:t>txSwitchWithAnotherBand</w:t>
        </w:r>
      </w:hyperlink>
    </w:p>
    <w:p w14:paraId="2A4128F8" w14:textId="3415025D" w:rsidR="0018281C" w:rsidRDefault="007B4518">
      <w:pPr>
        <w:pStyle w:val="TableofFigures"/>
        <w:tabs>
          <w:tab w:val="right" w:leader="dot" w:pos="9350"/>
        </w:tabs>
        <w:rPr>
          <w:rFonts w:eastAsiaTheme="minorEastAsia"/>
          <w:b w:val="0"/>
          <w:noProof/>
        </w:rPr>
      </w:pPr>
      <w:hyperlink w:anchor="_Toc142489223" w:history="1">
        <w:r w:rsidR="0018281C" w:rsidRPr="009D4DEE">
          <w:rPr>
            <w:rStyle w:val="Hyperlink"/>
            <w:noProof/>
          </w:rPr>
          <w:t>Proposal 2</w:t>
        </w:r>
        <w:r w:rsidR="0018281C">
          <w:rPr>
            <w:rFonts w:eastAsiaTheme="minorEastAsia"/>
            <w:b w:val="0"/>
            <w:noProof/>
          </w:rPr>
          <w:tab/>
        </w:r>
        <w:r w:rsidR="0018281C" w:rsidRPr="009D4DEE">
          <w:rPr>
            <w:rStyle w:val="Hyperlink"/>
            <w:noProof/>
          </w:rPr>
          <w:t>Inform RAN4 that the LTE constraints on simultaneous transmission using different ports in different cells are not suitable for NR TDD+FDD using SRS antenna switching, and RAN1’s understanding is that 38.133 is sufficient to characterize the impact on FDD Rx for the FDD band in an FDD+TDD combination caused by SRS antenna switching.</w:t>
        </w:r>
      </w:hyperlink>
    </w:p>
    <w:p w14:paraId="1264ED0A" w14:textId="791CF22F" w:rsidR="00E536A5" w:rsidRPr="00E536A5" w:rsidRDefault="0018281C" w:rsidP="0018281C">
      <w:pPr>
        <w:pStyle w:val="BodyText"/>
        <w:rPr>
          <w:lang w:val="en-GB" w:eastAsia="zh-CN"/>
        </w:rPr>
      </w:pPr>
      <w:r>
        <w:rPr>
          <w:b/>
          <w:bCs/>
        </w:rPr>
        <w:fldChar w:fldCharType="end"/>
      </w:r>
      <w:r w:rsidR="00E536A5" w:rsidRPr="00707E61">
        <w:rPr>
          <w:lang w:val="en-GB" w:eastAsia="zh-CN"/>
        </w:rPr>
        <w:t xml:space="preserve">A draft LS </w:t>
      </w:r>
      <w:r w:rsidR="00707E61">
        <w:rPr>
          <w:lang w:val="en-GB" w:eastAsia="zh-CN"/>
        </w:rPr>
        <w:t xml:space="preserve">to RAN4 capturing the two proposals above </w:t>
      </w:r>
      <w:r w:rsidR="00E536A5" w:rsidRPr="00707E61">
        <w:rPr>
          <w:lang w:val="en-GB" w:eastAsia="zh-CN"/>
        </w:rPr>
        <w:t>is provided in</w:t>
      </w:r>
      <w:r w:rsidR="00893C1D">
        <w:rPr>
          <w:lang w:val="en-GB" w:eastAsia="zh-CN"/>
        </w:rPr>
        <w:t xml:space="preserve"> </w:t>
      </w:r>
      <w:r w:rsidR="00893C1D">
        <w:rPr>
          <w:lang w:val="en-GB" w:eastAsia="zh-CN"/>
        </w:rPr>
        <w:fldChar w:fldCharType="begin"/>
      </w:r>
      <w:r w:rsidR="00893C1D">
        <w:rPr>
          <w:lang w:val="en-GB" w:eastAsia="zh-CN"/>
        </w:rPr>
        <w:instrText xml:space="preserve"> REF _Ref142671280 \r \h </w:instrText>
      </w:r>
      <w:r w:rsidR="00893C1D">
        <w:rPr>
          <w:lang w:val="en-GB" w:eastAsia="zh-CN"/>
        </w:rPr>
      </w:r>
      <w:r w:rsidR="00893C1D">
        <w:rPr>
          <w:lang w:val="en-GB" w:eastAsia="zh-CN"/>
        </w:rPr>
        <w:fldChar w:fldCharType="separate"/>
      </w:r>
      <w:r w:rsidR="00893C1D">
        <w:rPr>
          <w:lang w:val="en-GB" w:eastAsia="zh-CN"/>
        </w:rPr>
        <w:t>[5]</w:t>
      </w:r>
      <w:r w:rsidR="00893C1D">
        <w:rPr>
          <w:lang w:val="en-GB" w:eastAsia="zh-CN"/>
        </w:rPr>
        <w:fldChar w:fldCharType="end"/>
      </w:r>
      <w:r w:rsidR="00893C1D">
        <w:rPr>
          <w:lang w:val="en-GB" w:eastAsia="zh-CN"/>
        </w:rPr>
        <w:t>.</w:t>
      </w:r>
      <w:r w:rsidR="00E536A5" w:rsidRPr="00707E61">
        <w:rPr>
          <w:lang w:val="en-GB" w:eastAsia="zh-CN"/>
        </w:rPr>
        <w:t xml:space="preserve"> </w:t>
      </w:r>
    </w:p>
    <w:p w14:paraId="74761E64" w14:textId="1C3AED1C" w:rsidR="008A66A9" w:rsidRDefault="00F507D1" w:rsidP="004D5B6C">
      <w:pPr>
        <w:pStyle w:val="Heading1"/>
        <w:spacing w:before="360"/>
      </w:pPr>
      <w:r w:rsidRPr="00CE0424">
        <w:t>References</w:t>
      </w:r>
    </w:p>
    <w:p w14:paraId="5EFBF920" w14:textId="59ADBF33" w:rsidR="00204B3F" w:rsidRDefault="00C133E3" w:rsidP="00B74072">
      <w:pPr>
        <w:pStyle w:val="Reference"/>
        <w:spacing w:after="120"/>
      </w:pPr>
      <w:bookmarkStart w:id="8" w:name="_Ref53666297"/>
      <w:bookmarkStart w:id="9" w:name="_Ref101380969"/>
      <w:bookmarkStart w:id="10" w:name="_Ref40444141"/>
      <w:bookmarkStart w:id="11" w:name="_Ref513450389"/>
      <w:r w:rsidRPr="00C133E3">
        <w:t>R1-</w:t>
      </w:r>
      <w:r w:rsidR="001B751A" w:rsidRPr="001B751A">
        <w:t>2302268</w:t>
      </w:r>
      <w:r>
        <w:t>,</w:t>
      </w:r>
      <w:r w:rsidRPr="00C133E3">
        <w:t xml:space="preserve"> </w:t>
      </w:r>
      <w:r>
        <w:t>“</w:t>
      </w:r>
      <w:r w:rsidR="001B751A" w:rsidRPr="001B751A">
        <w:t>LS on clarification on impact of SRS antenna switching for TDD-FDD band combinations</w:t>
      </w:r>
      <w:r>
        <w:t>”</w:t>
      </w:r>
      <w:bookmarkStart w:id="12" w:name="_Ref84007696"/>
      <w:bookmarkEnd w:id="8"/>
      <w:r>
        <w:t>,</w:t>
      </w:r>
      <w:r w:rsidR="00204B3F" w:rsidRPr="00315B4C">
        <w:t xml:space="preserve"> </w:t>
      </w:r>
      <w:r>
        <w:t>RAN4 (</w:t>
      </w:r>
      <w:r w:rsidR="001B751A">
        <w:t>Huawei</w:t>
      </w:r>
      <w:r>
        <w:t xml:space="preserve">), </w:t>
      </w:r>
      <w:r w:rsidR="00204B3F" w:rsidRPr="00315B4C">
        <w:t>3GPP TSG RAN1 #</w:t>
      </w:r>
      <w:r w:rsidR="00315B4C" w:rsidRPr="00315B4C">
        <w:t>1</w:t>
      </w:r>
      <w:r w:rsidR="001B751A">
        <w:t>12bis</w:t>
      </w:r>
      <w:r w:rsidR="00315B4C" w:rsidRPr="00315B4C">
        <w:t xml:space="preserve">-e, </w:t>
      </w:r>
      <w:r w:rsidR="001B751A" w:rsidRPr="001B751A">
        <w:t>April 17th – April 26th, 2023</w:t>
      </w:r>
      <w:r w:rsidR="00204B3F" w:rsidRPr="00315B4C">
        <w:t>.</w:t>
      </w:r>
      <w:bookmarkEnd w:id="9"/>
      <w:bookmarkEnd w:id="12"/>
    </w:p>
    <w:p w14:paraId="798CDBD2" w14:textId="763589AC" w:rsidR="005C7018" w:rsidRDefault="005C7018" w:rsidP="000A0E63">
      <w:pPr>
        <w:pStyle w:val="Reference"/>
        <w:spacing w:after="120"/>
      </w:pPr>
      <w:bookmarkStart w:id="13" w:name="_Ref142472376"/>
      <w:r w:rsidRPr="00C133E3">
        <w:t>R1-</w:t>
      </w:r>
      <w:r w:rsidRPr="001B751A">
        <w:t>23</w:t>
      </w:r>
      <w:r>
        <w:t>04246,</w:t>
      </w:r>
      <w:r w:rsidRPr="00C133E3">
        <w:t xml:space="preserve"> </w:t>
      </w:r>
      <w:r>
        <w:t>“</w:t>
      </w:r>
      <w:r w:rsidRPr="005C7018">
        <w:t>Summary on [112bis-e-AI7.1-16]</w:t>
      </w:r>
      <w:r>
        <w:t>”,</w:t>
      </w:r>
      <w:r w:rsidRPr="00315B4C">
        <w:t xml:space="preserve"> </w:t>
      </w:r>
      <w:r>
        <w:t xml:space="preserve">Moderator (Huawei), </w:t>
      </w:r>
      <w:r w:rsidRPr="00315B4C">
        <w:t>3GPP TSG RAN1 #1</w:t>
      </w:r>
      <w:r>
        <w:t>14</w:t>
      </w:r>
      <w:r w:rsidRPr="00315B4C">
        <w:t xml:space="preserve">, </w:t>
      </w:r>
      <w:r w:rsidRPr="001B751A">
        <w:t>April 17th – April 26th, 2023</w:t>
      </w:r>
      <w:r w:rsidRPr="00315B4C">
        <w:t>.</w:t>
      </w:r>
      <w:bookmarkEnd w:id="13"/>
    </w:p>
    <w:p w14:paraId="7EEF74E8" w14:textId="38FD1F21" w:rsidR="00C501DF" w:rsidRDefault="00C501DF" w:rsidP="000A0E63">
      <w:pPr>
        <w:pStyle w:val="Reference"/>
        <w:spacing w:after="120"/>
      </w:pPr>
      <w:bookmarkStart w:id="14" w:name="_Ref142476125"/>
      <w:r w:rsidRPr="00C133E3">
        <w:t>R1-</w:t>
      </w:r>
      <w:r w:rsidR="00EE66AF" w:rsidRPr="00EE66AF">
        <w:t>1716955</w:t>
      </w:r>
      <w:r>
        <w:t>,</w:t>
      </w:r>
      <w:r w:rsidRPr="00C133E3">
        <w:t xml:space="preserve"> </w:t>
      </w:r>
      <w:r>
        <w:t>“</w:t>
      </w:r>
      <w:r w:rsidRPr="00C501DF">
        <w:t>LS on effect of SRS switching in TDD + FDD CA</w:t>
      </w:r>
      <w:r>
        <w:t>”,</w:t>
      </w:r>
      <w:r w:rsidRPr="00315B4C">
        <w:t xml:space="preserve"> </w:t>
      </w:r>
      <w:r>
        <w:t xml:space="preserve">RAN4 (Qualcomm), </w:t>
      </w:r>
      <w:r w:rsidRPr="00315B4C">
        <w:t>3GPP TSG RAN1 #</w:t>
      </w:r>
      <w:r>
        <w:t>90bis</w:t>
      </w:r>
      <w:r w:rsidRPr="00315B4C">
        <w:t xml:space="preserve">, </w:t>
      </w:r>
      <w:r>
        <w:t>October 9-13</w:t>
      </w:r>
      <w:r w:rsidRPr="001B751A">
        <w:t xml:space="preserve">, </w:t>
      </w:r>
      <w:r w:rsidR="000635DA">
        <w:t>2017</w:t>
      </w:r>
      <w:r w:rsidRPr="00315B4C">
        <w:t>.</w:t>
      </w:r>
      <w:bookmarkEnd w:id="14"/>
    </w:p>
    <w:p w14:paraId="5B43A39E" w14:textId="1FAAC078" w:rsidR="00664F65" w:rsidRDefault="000635DA" w:rsidP="002463BE">
      <w:pPr>
        <w:pStyle w:val="Reference"/>
        <w:spacing w:after="120"/>
      </w:pPr>
      <w:bookmarkStart w:id="15" w:name="_Ref142481908"/>
      <w:r w:rsidRPr="000635DA">
        <w:t>R1-1803028</w:t>
      </w:r>
      <w:r w:rsidR="00664F65" w:rsidRPr="00664F65">
        <w:t>, “Corrections for antenna switching”, Qualcomm, 3GPP TSG RAN1 #9</w:t>
      </w:r>
      <w:r>
        <w:t>2</w:t>
      </w:r>
      <w:r w:rsidR="00664F65" w:rsidRPr="00664F65">
        <w:t xml:space="preserve">, </w:t>
      </w:r>
      <w:r w:rsidRPr="000635DA">
        <w:t>February 26th – March 2</w:t>
      </w:r>
      <w:r w:rsidRPr="009C6FEA">
        <w:rPr>
          <w:vertAlign w:val="superscript"/>
        </w:rPr>
        <w:t>nd</w:t>
      </w:r>
      <w:r>
        <w:t>, 2018</w:t>
      </w:r>
      <w:r w:rsidR="00664F65" w:rsidRPr="00664F65">
        <w:t>.</w:t>
      </w:r>
      <w:bookmarkEnd w:id="15"/>
    </w:p>
    <w:p w14:paraId="74A67882" w14:textId="55F8A706" w:rsidR="00707E61" w:rsidRDefault="00707E61" w:rsidP="00DC2B98">
      <w:pPr>
        <w:pStyle w:val="Reference"/>
        <w:spacing w:after="120"/>
      </w:pPr>
      <w:bookmarkStart w:id="16" w:name="_Ref142671280"/>
      <w:r w:rsidRPr="00C133E3">
        <w:t>R1-</w:t>
      </w:r>
      <w:r w:rsidRPr="00707E61">
        <w:t xml:space="preserve"> </w:t>
      </w:r>
      <w:r w:rsidRPr="00707E61">
        <w:t>2308183</w:t>
      </w:r>
      <w:r>
        <w:t>,</w:t>
      </w:r>
      <w:r w:rsidRPr="00C133E3">
        <w:t xml:space="preserve"> </w:t>
      </w:r>
      <w:r>
        <w:t>“</w:t>
      </w:r>
      <w:r w:rsidRPr="00707E61">
        <w:t>Draft Reply LS on FDD+TDD SRS Antenna Switching</w:t>
      </w:r>
      <w:r>
        <w:t>”,</w:t>
      </w:r>
      <w:r w:rsidRPr="00315B4C">
        <w:t xml:space="preserve"> </w:t>
      </w:r>
      <w:r>
        <w:t>Ericsson</w:t>
      </w:r>
      <w:r>
        <w:t xml:space="preserve">, </w:t>
      </w:r>
      <w:r w:rsidRPr="00315B4C">
        <w:t>3GPP TSG RAN1 #1</w:t>
      </w:r>
      <w:r>
        <w:t>1</w:t>
      </w:r>
      <w:r>
        <w:t>4</w:t>
      </w:r>
      <w:r w:rsidRPr="00315B4C">
        <w:t xml:space="preserve">, </w:t>
      </w:r>
      <w:r w:rsidRPr="00707E61">
        <w:t>August 21st – August 25th, 2023</w:t>
      </w:r>
      <w:r w:rsidRPr="00315B4C">
        <w:t>.</w:t>
      </w:r>
      <w:bookmarkEnd w:id="16"/>
    </w:p>
    <w:bookmarkEnd w:id="10"/>
    <w:bookmarkEnd w:id="11"/>
    <w:p w14:paraId="6F26CB6C" w14:textId="60E2E528" w:rsidR="00407CD8" w:rsidRDefault="00407CD8" w:rsidP="00C133E3">
      <w:pPr>
        <w:pStyle w:val="Reference"/>
        <w:keepNext/>
        <w:numPr>
          <w:ilvl w:val="0"/>
          <w:numId w:val="0"/>
        </w:numPr>
        <w:spacing w:after="0"/>
        <w:jc w:val="center"/>
      </w:pPr>
    </w:p>
    <w:p w14:paraId="7B7E1D26" w14:textId="77777777" w:rsidR="00664F65" w:rsidRPr="004D51DF" w:rsidRDefault="00664F65" w:rsidP="00C133E3">
      <w:pPr>
        <w:pStyle w:val="Reference"/>
        <w:keepNext/>
        <w:numPr>
          <w:ilvl w:val="0"/>
          <w:numId w:val="0"/>
        </w:numPr>
        <w:spacing w:after="0"/>
        <w:jc w:val="center"/>
      </w:pPr>
    </w:p>
    <w:sectPr w:rsidR="00664F65"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E7CA" w14:textId="77777777" w:rsidR="00EB7182" w:rsidRDefault="00EB7182">
      <w:r>
        <w:separator/>
      </w:r>
    </w:p>
  </w:endnote>
  <w:endnote w:type="continuationSeparator" w:id="0">
    <w:p w14:paraId="6C43A109" w14:textId="77777777" w:rsidR="00EB7182" w:rsidRDefault="00EB7182">
      <w:r>
        <w:continuationSeparator/>
      </w:r>
    </w:p>
  </w:endnote>
  <w:endnote w:type="continuationNotice" w:id="1">
    <w:p w14:paraId="1D3FC031"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A156" w14:textId="77777777" w:rsidR="00EB7182" w:rsidRDefault="00EB7182">
      <w:r>
        <w:separator/>
      </w:r>
    </w:p>
  </w:footnote>
  <w:footnote w:type="continuationSeparator" w:id="0">
    <w:p w14:paraId="66A08ABD" w14:textId="77777777" w:rsidR="00EB7182" w:rsidRDefault="00EB7182">
      <w:r>
        <w:continuationSeparator/>
      </w:r>
    </w:p>
  </w:footnote>
  <w:footnote w:type="continuationNotice" w:id="1">
    <w:p w14:paraId="27853F6A"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ED7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686A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4C6E9E"/>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50278B"/>
    <w:multiLevelType w:val="hybridMultilevel"/>
    <w:tmpl w:val="95069264"/>
    <w:lvl w:ilvl="0" w:tplc="2740399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num w:numId="1" w16cid:durableId="1395857976">
    <w:abstractNumId w:val="3"/>
  </w:num>
  <w:num w:numId="2" w16cid:durableId="996999811">
    <w:abstractNumId w:val="14"/>
  </w:num>
  <w:num w:numId="3" w16cid:durableId="822627949">
    <w:abstractNumId w:val="10"/>
  </w:num>
  <w:num w:numId="4" w16cid:durableId="1528758573">
    <w:abstractNumId w:val="11"/>
  </w:num>
  <w:num w:numId="5" w16cid:durableId="483742394">
    <w:abstractNumId w:val="7"/>
  </w:num>
  <w:num w:numId="6" w16cid:durableId="1342511308">
    <w:abstractNumId w:val="13"/>
  </w:num>
  <w:num w:numId="7" w16cid:durableId="378358910">
    <w:abstractNumId w:val="18"/>
  </w:num>
  <w:num w:numId="8" w16cid:durableId="669647597">
    <w:abstractNumId w:val="8"/>
  </w:num>
  <w:num w:numId="9" w16cid:durableId="1122070584">
    <w:abstractNumId w:val="15"/>
  </w:num>
  <w:num w:numId="10" w16cid:durableId="899286488">
    <w:abstractNumId w:val="9"/>
  </w:num>
  <w:num w:numId="11" w16cid:durableId="1683703988">
    <w:abstractNumId w:val="4"/>
  </w:num>
  <w:num w:numId="12" w16cid:durableId="192112180">
    <w:abstractNumId w:val="12"/>
  </w:num>
  <w:num w:numId="13" w16cid:durableId="243954991">
    <w:abstractNumId w:val="19"/>
  </w:num>
  <w:num w:numId="14" w16cid:durableId="1027826820">
    <w:abstractNumId w:val="6"/>
  </w:num>
  <w:num w:numId="15" w16cid:durableId="463472902">
    <w:abstractNumId w:val="17"/>
  </w:num>
  <w:num w:numId="16" w16cid:durableId="283538531">
    <w:abstractNumId w:val="20"/>
  </w:num>
  <w:num w:numId="17" w16cid:durableId="1465657860">
    <w:abstractNumId w:val="16"/>
  </w:num>
  <w:num w:numId="18" w16cid:durableId="1128276337">
    <w:abstractNumId w:val="21"/>
  </w:num>
  <w:num w:numId="19" w16cid:durableId="369382263">
    <w:abstractNumId w:val="5"/>
  </w:num>
  <w:num w:numId="20" w16cid:durableId="265427305">
    <w:abstractNumId w:val="2"/>
  </w:num>
  <w:num w:numId="21" w16cid:durableId="1874537248">
    <w:abstractNumId w:val="1"/>
  </w:num>
  <w:num w:numId="22" w16cid:durableId="146808650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63D3"/>
    <w:rsid w:val="00026B9A"/>
    <w:rsid w:val="00026C5C"/>
    <w:rsid w:val="00027C6A"/>
    <w:rsid w:val="000302BE"/>
    <w:rsid w:val="00030656"/>
    <w:rsid w:val="00030B30"/>
    <w:rsid w:val="000310E9"/>
    <w:rsid w:val="000315EF"/>
    <w:rsid w:val="00031E8F"/>
    <w:rsid w:val="00032480"/>
    <w:rsid w:val="000325B8"/>
    <w:rsid w:val="00032BCC"/>
    <w:rsid w:val="00032BFF"/>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5DA"/>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702F"/>
    <w:rsid w:val="0007731D"/>
    <w:rsid w:val="0007744F"/>
    <w:rsid w:val="00077876"/>
    <w:rsid w:val="00077BFF"/>
    <w:rsid w:val="00077E51"/>
    <w:rsid w:val="00077E5F"/>
    <w:rsid w:val="0008036A"/>
    <w:rsid w:val="0008087E"/>
    <w:rsid w:val="000809B1"/>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506E"/>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1A7"/>
    <w:rsid w:val="00103388"/>
    <w:rsid w:val="00103D0E"/>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2C4"/>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6E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B9E"/>
    <w:rsid w:val="001804AE"/>
    <w:rsid w:val="00180C7E"/>
    <w:rsid w:val="00180DC6"/>
    <w:rsid w:val="00180F6B"/>
    <w:rsid w:val="00181060"/>
    <w:rsid w:val="0018143F"/>
    <w:rsid w:val="00181A7D"/>
    <w:rsid w:val="001823F7"/>
    <w:rsid w:val="00182419"/>
    <w:rsid w:val="0018281C"/>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564"/>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53D3"/>
    <w:rsid w:val="001B56B7"/>
    <w:rsid w:val="001B5A5D"/>
    <w:rsid w:val="001B751A"/>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761"/>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730A"/>
    <w:rsid w:val="00217C46"/>
    <w:rsid w:val="00217C91"/>
    <w:rsid w:val="0022022A"/>
    <w:rsid w:val="0022057E"/>
    <w:rsid w:val="00220600"/>
    <w:rsid w:val="00220668"/>
    <w:rsid w:val="002209B8"/>
    <w:rsid w:val="00220DD8"/>
    <w:rsid w:val="002213E0"/>
    <w:rsid w:val="002216A8"/>
    <w:rsid w:val="00221A99"/>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6E7"/>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6214"/>
    <w:rsid w:val="002662D8"/>
    <w:rsid w:val="00266788"/>
    <w:rsid w:val="00267772"/>
    <w:rsid w:val="00267AAD"/>
    <w:rsid w:val="00267C83"/>
    <w:rsid w:val="0027113D"/>
    <w:rsid w:val="0027144F"/>
    <w:rsid w:val="0027179E"/>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8D6"/>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C757F"/>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A4"/>
    <w:rsid w:val="002E17F2"/>
    <w:rsid w:val="002E2084"/>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EF9"/>
    <w:rsid w:val="002E7165"/>
    <w:rsid w:val="002E741A"/>
    <w:rsid w:val="002E79A0"/>
    <w:rsid w:val="002E7CAE"/>
    <w:rsid w:val="002F0BBD"/>
    <w:rsid w:val="002F187F"/>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CD5"/>
    <w:rsid w:val="00324D23"/>
    <w:rsid w:val="00325282"/>
    <w:rsid w:val="00325390"/>
    <w:rsid w:val="003254FB"/>
    <w:rsid w:val="003260BF"/>
    <w:rsid w:val="003262A8"/>
    <w:rsid w:val="0032640D"/>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2C5"/>
    <w:rsid w:val="00340B8C"/>
    <w:rsid w:val="00340CFD"/>
    <w:rsid w:val="0034176C"/>
    <w:rsid w:val="00341A2B"/>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CC3"/>
    <w:rsid w:val="00376DE9"/>
    <w:rsid w:val="00377200"/>
    <w:rsid w:val="00377297"/>
    <w:rsid w:val="003773C4"/>
    <w:rsid w:val="00377618"/>
    <w:rsid w:val="00377BE1"/>
    <w:rsid w:val="00377CE1"/>
    <w:rsid w:val="0038007B"/>
    <w:rsid w:val="00380726"/>
    <w:rsid w:val="003808DD"/>
    <w:rsid w:val="00380FDC"/>
    <w:rsid w:val="0038141E"/>
    <w:rsid w:val="0038156D"/>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21B"/>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3BBA"/>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D05"/>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7BA"/>
    <w:rsid w:val="00434B02"/>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E88"/>
    <w:rsid w:val="0046479D"/>
    <w:rsid w:val="00464BC0"/>
    <w:rsid w:val="00465884"/>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63A6"/>
    <w:rsid w:val="00487321"/>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5E"/>
    <w:rsid w:val="00497392"/>
    <w:rsid w:val="004977E6"/>
    <w:rsid w:val="00497D4A"/>
    <w:rsid w:val="00497FF3"/>
    <w:rsid w:val="004A083B"/>
    <w:rsid w:val="004A0CC6"/>
    <w:rsid w:val="004A1450"/>
    <w:rsid w:val="004A16BC"/>
    <w:rsid w:val="004A18A4"/>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871"/>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0FB6"/>
    <w:rsid w:val="005116F9"/>
    <w:rsid w:val="00511ECB"/>
    <w:rsid w:val="005120CC"/>
    <w:rsid w:val="00512318"/>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924"/>
    <w:rsid w:val="00531D2A"/>
    <w:rsid w:val="00531E5E"/>
    <w:rsid w:val="0053274E"/>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13C"/>
    <w:rsid w:val="00591B7E"/>
    <w:rsid w:val="00591CA4"/>
    <w:rsid w:val="00592378"/>
    <w:rsid w:val="00592489"/>
    <w:rsid w:val="0059254B"/>
    <w:rsid w:val="00592B0D"/>
    <w:rsid w:val="00592C23"/>
    <w:rsid w:val="00592F48"/>
    <w:rsid w:val="00593519"/>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59C"/>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CEC"/>
    <w:rsid w:val="005C6DD7"/>
    <w:rsid w:val="005C7018"/>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CAC"/>
    <w:rsid w:val="005F10FF"/>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5D42"/>
    <w:rsid w:val="006274FC"/>
    <w:rsid w:val="006275C3"/>
    <w:rsid w:val="0062769A"/>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3709"/>
    <w:rsid w:val="006342D0"/>
    <w:rsid w:val="006348DF"/>
    <w:rsid w:val="00634B4E"/>
    <w:rsid w:val="0063593C"/>
    <w:rsid w:val="0063596D"/>
    <w:rsid w:val="00636398"/>
    <w:rsid w:val="006365DC"/>
    <w:rsid w:val="006368D3"/>
    <w:rsid w:val="00636C55"/>
    <w:rsid w:val="00636D9F"/>
    <w:rsid w:val="006370A8"/>
    <w:rsid w:val="00637187"/>
    <w:rsid w:val="006377A7"/>
    <w:rsid w:val="006377EC"/>
    <w:rsid w:val="006400AF"/>
    <w:rsid w:val="00640E8C"/>
    <w:rsid w:val="00640FE3"/>
    <w:rsid w:val="0064151F"/>
    <w:rsid w:val="00641533"/>
    <w:rsid w:val="006417A8"/>
    <w:rsid w:val="00641A1D"/>
    <w:rsid w:val="0064208D"/>
    <w:rsid w:val="00642319"/>
    <w:rsid w:val="0064275C"/>
    <w:rsid w:val="00643475"/>
    <w:rsid w:val="0064396A"/>
    <w:rsid w:val="006439C1"/>
    <w:rsid w:val="00643E2C"/>
    <w:rsid w:val="00644655"/>
    <w:rsid w:val="00644E74"/>
    <w:rsid w:val="006451A9"/>
    <w:rsid w:val="006456D2"/>
    <w:rsid w:val="00646226"/>
    <w:rsid w:val="0064624E"/>
    <w:rsid w:val="006474AA"/>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4F65"/>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5A"/>
    <w:rsid w:val="006719B6"/>
    <w:rsid w:val="00671C2F"/>
    <w:rsid w:val="00671F18"/>
    <w:rsid w:val="0067218F"/>
    <w:rsid w:val="0067274A"/>
    <w:rsid w:val="00672BE2"/>
    <w:rsid w:val="00673299"/>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7BF"/>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1492"/>
    <w:rsid w:val="006A282F"/>
    <w:rsid w:val="006A29FF"/>
    <w:rsid w:val="006A2BAB"/>
    <w:rsid w:val="006A2FE1"/>
    <w:rsid w:val="006A31BA"/>
    <w:rsid w:val="006A367C"/>
    <w:rsid w:val="006A3BC5"/>
    <w:rsid w:val="006A3EBA"/>
    <w:rsid w:val="006A468F"/>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621"/>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578"/>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89B"/>
    <w:rsid w:val="006F71ED"/>
    <w:rsid w:val="006F7707"/>
    <w:rsid w:val="006F7BAE"/>
    <w:rsid w:val="007005FA"/>
    <w:rsid w:val="007009F8"/>
    <w:rsid w:val="00701685"/>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07E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45"/>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171"/>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291"/>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1D6"/>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518"/>
    <w:rsid w:val="007B4EE8"/>
    <w:rsid w:val="007B50AE"/>
    <w:rsid w:val="007B51DF"/>
    <w:rsid w:val="007B5511"/>
    <w:rsid w:val="007B5A61"/>
    <w:rsid w:val="007B60E6"/>
    <w:rsid w:val="007B61DA"/>
    <w:rsid w:val="007B63F8"/>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5867"/>
    <w:rsid w:val="007F611D"/>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3576"/>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BC2"/>
    <w:rsid w:val="00852C37"/>
    <w:rsid w:val="00852E36"/>
    <w:rsid w:val="00852F3B"/>
    <w:rsid w:val="00854307"/>
    <w:rsid w:val="008546EF"/>
    <w:rsid w:val="0085475D"/>
    <w:rsid w:val="0085485C"/>
    <w:rsid w:val="008550E9"/>
    <w:rsid w:val="008558BF"/>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B55"/>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B0F"/>
    <w:rsid w:val="00892FC2"/>
    <w:rsid w:val="008933F5"/>
    <w:rsid w:val="0089384A"/>
    <w:rsid w:val="00893C1D"/>
    <w:rsid w:val="00893F76"/>
    <w:rsid w:val="00894804"/>
    <w:rsid w:val="00894924"/>
    <w:rsid w:val="00894A88"/>
    <w:rsid w:val="00894DB2"/>
    <w:rsid w:val="00895386"/>
    <w:rsid w:val="008956C8"/>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204"/>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668"/>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4BE"/>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5B3E"/>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D19"/>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87C89"/>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6FEA"/>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4BD"/>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F3"/>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AD7"/>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561"/>
    <w:rsid w:val="00A90970"/>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6E9"/>
    <w:rsid w:val="00B017C7"/>
    <w:rsid w:val="00B01D8A"/>
    <w:rsid w:val="00B02733"/>
    <w:rsid w:val="00B0279D"/>
    <w:rsid w:val="00B02996"/>
    <w:rsid w:val="00B02AA9"/>
    <w:rsid w:val="00B02B0F"/>
    <w:rsid w:val="00B02B78"/>
    <w:rsid w:val="00B02FA3"/>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2C"/>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180"/>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62B"/>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F1B"/>
    <w:rsid w:val="00BF4DD7"/>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543"/>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4604"/>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5111"/>
    <w:rsid w:val="00C25262"/>
    <w:rsid w:val="00C2548F"/>
    <w:rsid w:val="00C25986"/>
    <w:rsid w:val="00C26119"/>
    <w:rsid w:val="00C2644D"/>
    <w:rsid w:val="00C267B3"/>
    <w:rsid w:val="00C268A6"/>
    <w:rsid w:val="00C279B5"/>
    <w:rsid w:val="00C279CC"/>
    <w:rsid w:val="00C27C45"/>
    <w:rsid w:val="00C27FB9"/>
    <w:rsid w:val="00C30012"/>
    <w:rsid w:val="00C307B4"/>
    <w:rsid w:val="00C30A69"/>
    <w:rsid w:val="00C31A13"/>
    <w:rsid w:val="00C31B6F"/>
    <w:rsid w:val="00C321DB"/>
    <w:rsid w:val="00C32728"/>
    <w:rsid w:val="00C32ACD"/>
    <w:rsid w:val="00C33332"/>
    <w:rsid w:val="00C34231"/>
    <w:rsid w:val="00C34352"/>
    <w:rsid w:val="00C3459A"/>
    <w:rsid w:val="00C346DC"/>
    <w:rsid w:val="00C356AC"/>
    <w:rsid w:val="00C35A71"/>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1DF"/>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119"/>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A6B"/>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D8F"/>
    <w:rsid w:val="00D13135"/>
    <w:rsid w:val="00D13E4E"/>
    <w:rsid w:val="00D13F66"/>
    <w:rsid w:val="00D141C0"/>
    <w:rsid w:val="00D14300"/>
    <w:rsid w:val="00D1450E"/>
    <w:rsid w:val="00D1465F"/>
    <w:rsid w:val="00D1517D"/>
    <w:rsid w:val="00D152F0"/>
    <w:rsid w:val="00D15624"/>
    <w:rsid w:val="00D15D48"/>
    <w:rsid w:val="00D16107"/>
    <w:rsid w:val="00D16E36"/>
    <w:rsid w:val="00D17B74"/>
    <w:rsid w:val="00D20310"/>
    <w:rsid w:val="00D2069B"/>
    <w:rsid w:val="00D20FDD"/>
    <w:rsid w:val="00D21F85"/>
    <w:rsid w:val="00D23319"/>
    <w:rsid w:val="00D239A7"/>
    <w:rsid w:val="00D23F47"/>
    <w:rsid w:val="00D240B5"/>
    <w:rsid w:val="00D2463A"/>
    <w:rsid w:val="00D25097"/>
    <w:rsid w:val="00D2566F"/>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8B"/>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3D4"/>
    <w:rsid w:val="00D94572"/>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2EE0"/>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50B4"/>
    <w:rsid w:val="00E152FE"/>
    <w:rsid w:val="00E157E0"/>
    <w:rsid w:val="00E1608E"/>
    <w:rsid w:val="00E1674A"/>
    <w:rsid w:val="00E1677B"/>
    <w:rsid w:val="00E16DB5"/>
    <w:rsid w:val="00E171AE"/>
    <w:rsid w:val="00E17AFB"/>
    <w:rsid w:val="00E17FA2"/>
    <w:rsid w:val="00E20135"/>
    <w:rsid w:val="00E201FF"/>
    <w:rsid w:val="00E20AC0"/>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C61"/>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16"/>
    <w:rsid w:val="00ED5BEC"/>
    <w:rsid w:val="00ED6127"/>
    <w:rsid w:val="00ED6915"/>
    <w:rsid w:val="00ED72EB"/>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6AF"/>
    <w:rsid w:val="00EE6E82"/>
    <w:rsid w:val="00EE7CC5"/>
    <w:rsid w:val="00EE7E4B"/>
    <w:rsid w:val="00EE7F2A"/>
    <w:rsid w:val="00EF03A8"/>
    <w:rsid w:val="00EF0561"/>
    <w:rsid w:val="00EF138A"/>
    <w:rsid w:val="00EF1530"/>
    <w:rsid w:val="00EF15B6"/>
    <w:rsid w:val="00EF184D"/>
    <w:rsid w:val="00EF18FE"/>
    <w:rsid w:val="00EF24DE"/>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1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27E60"/>
    <w:rsid w:val="00F30033"/>
    <w:rsid w:val="00F3008F"/>
    <w:rsid w:val="00F300C4"/>
    <w:rsid w:val="00F30828"/>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46D"/>
    <w:rsid w:val="00F607C5"/>
    <w:rsid w:val="00F6090B"/>
    <w:rsid w:val="00F60CB2"/>
    <w:rsid w:val="00F60DEA"/>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6DA"/>
    <w:rsid w:val="00F83E73"/>
    <w:rsid w:val="00F843F8"/>
    <w:rsid w:val="00F8456C"/>
    <w:rsid w:val="00F848EE"/>
    <w:rsid w:val="00F84FB6"/>
    <w:rsid w:val="00F84FE5"/>
    <w:rsid w:val="00F85055"/>
    <w:rsid w:val="00F85176"/>
    <w:rsid w:val="00F851A4"/>
    <w:rsid w:val="00F851D6"/>
    <w:rsid w:val="00F854BE"/>
    <w:rsid w:val="00F859D8"/>
    <w:rsid w:val="00F85DE4"/>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709"/>
    <w:rsid w:val="00F919B3"/>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07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69C"/>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69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unhideWhenUsed/>
    <w:rsid w:val="00FC26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69C"/>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jc w:val="both"/>
    </w:pPr>
    <w:rPr>
      <w:rFonts w:ascii="Arial" w:eastAsia="SimSun" w:hAnsi="Arial" w:cs="Times New Roman"/>
      <w:b/>
      <w:color w:val="0000FF"/>
      <w:sz w:val="20"/>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12474618">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2023-08-11T23:40:00Z</dcterms:created>
  <dcterms:modified xsi:type="dcterms:W3CDTF">2023-08-11T23:40:00Z</dcterms:modified>
</cp:coreProperties>
</file>